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17</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2404716</w:t>
      </w:r>
    </w:p>
    <w:p>
      <w:pPr>
        <w:snapToGrid w:val="0"/>
        <w:spacing w:line="240" w:lineRule="auto"/>
        <w:rPr>
          <w:rFonts w:ascii="Arial" w:hAnsi="Arial" w:eastAsia="宋体"/>
          <w:b/>
          <w:sz w:val="22"/>
        </w:rPr>
      </w:pPr>
      <w:r>
        <w:rPr>
          <w:rFonts w:hint="eastAsia" w:ascii="Arial" w:hAnsi="Arial" w:eastAsia="宋体"/>
          <w:b/>
          <w:sz w:val="22"/>
        </w:rPr>
        <w:t>Fukuoka City, Fukuoka, Japan</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May 20</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24</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24</w:t>
      </w:r>
    </w:p>
    <w:p>
      <w:pPr>
        <w:pStyle w:val="20"/>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bookmarkStart w:id="1" w:name="_GoBack"/>
      <w:bookmarkEnd w:id="1"/>
    </w:p>
    <w:p>
      <w:pPr>
        <w:pStyle w:val="20"/>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PRACH association indicator field in PDCCH order in TS 38.212</w:t>
      </w:r>
    </w:p>
    <w:p>
      <w:pPr>
        <w:pStyle w:val="20"/>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rPr>
        <w:t xml:space="preserve">In this contribution, we elaborate our views on </w:t>
      </w:r>
      <w:r>
        <w:rPr>
          <w:rFonts w:eastAsia="微软雅黑"/>
          <w:szCs w:val="20"/>
        </w:rPr>
        <w:t xml:space="preserve">the interpretation of Cell indicator field and </w:t>
      </w:r>
      <w:r>
        <w:rPr>
          <w:rFonts w:hint="eastAsia" w:eastAsia="宋体"/>
          <w:szCs w:val="20"/>
        </w:rPr>
        <w:t xml:space="preserve">PRACH association indicator field </w:t>
      </w:r>
      <w:r>
        <w:rPr>
          <w:rFonts w:eastAsia="宋体"/>
          <w:szCs w:val="20"/>
        </w:rPr>
        <w:t xml:space="preserve">existed </w:t>
      </w:r>
      <w:r>
        <w:rPr>
          <w:rFonts w:hint="eastAsia" w:eastAsia="宋体"/>
          <w:szCs w:val="20"/>
        </w:rPr>
        <w:t>in PDCCH order</w:t>
      </w:r>
      <w:r>
        <w:rPr>
          <w:rFonts w:eastAsia="宋体"/>
          <w:szCs w:val="20"/>
        </w:rPr>
        <w:t xml:space="preserve"> at the same time</w:t>
      </w:r>
      <w:r>
        <w:rPr>
          <w:rFonts w:hint="eastAsia" w:eastAsia="微软雅黑"/>
          <w:szCs w:val="20"/>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 xml:space="preserve">Discussion </w:t>
      </w:r>
    </w:p>
    <w:p>
      <w:pPr>
        <w:widowControl w:val="0"/>
        <w:adjustRightInd w:val="0"/>
        <w:snapToGrid w:val="0"/>
        <w:spacing w:before="72" w:beforeLines="30" w:after="72" w:afterLines="30" w:line="288" w:lineRule="auto"/>
        <w:jc w:val="both"/>
      </w:pPr>
      <w:r>
        <w:rPr>
          <w:rFonts w:hint="eastAsia"/>
        </w:rPr>
        <w:t>Since LTM procedure and MTRP two-TA operation can be enabled simultaneously to a UE, the Cell indicator field for LTM and PRACH association indicator field for two-TA can be present in PDCCH order at the same time.</w:t>
      </w:r>
    </w:p>
    <w:p>
      <w:pPr>
        <w:widowControl w:val="0"/>
        <w:adjustRightInd w:val="0"/>
        <w:snapToGrid w:val="0"/>
        <w:spacing w:before="72" w:beforeLines="30" w:after="72" w:afterLines="30" w:line="288" w:lineRule="auto"/>
        <w:jc w:val="both"/>
        <w:rPr>
          <w:rFonts w:eastAsia="等线"/>
        </w:rPr>
      </w:pPr>
      <w:r>
        <w:rPr>
          <w:rFonts w:hint="eastAsia"/>
        </w:rPr>
        <w:t xml:space="preserve">The mapping </w:t>
      </w:r>
      <w:r>
        <w:rPr>
          <w:rFonts w:hint="eastAsia" w:eastAsia="宋体"/>
          <w:lang w:val="en-US" w:eastAsia="zh-CN"/>
        </w:rPr>
        <w:t xml:space="preserve">rules </w:t>
      </w:r>
      <w:r>
        <w:rPr>
          <w:rFonts w:hint="eastAsia"/>
        </w:rPr>
        <w:t xml:space="preserve">of PRACH transmission triggered by PDCCH order and cell indicated by the </w:t>
      </w:r>
      <w:r>
        <w:t>Cell indicator</w:t>
      </w:r>
      <w:r>
        <w:rPr>
          <w:rFonts w:hint="eastAsia"/>
        </w:rPr>
        <w:t xml:space="preserve"> or </w:t>
      </w:r>
      <w:r>
        <w:rPr>
          <w:rFonts w:eastAsia="等线"/>
        </w:rPr>
        <w:t>PRACH association indicator</w:t>
      </w:r>
      <w:r>
        <w:rPr>
          <w:rFonts w:hint="eastAsia" w:eastAsia="等线"/>
        </w:rPr>
        <w:t xml:space="preserve"> ha</w:t>
      </w:r>
      <w:r>
        <w:rPr>
          <w:rFonts w:eastAsia="等线"/>
        </w:rPr>
        <w:t>ve</w:t>
      </w:r>
      <w:r>
        <w:rPr>
          <w:rFonts w:hint="eastAsia" w:eastAsia="等线"/>
        </w:rPr>
        <w:t xml:space="preserve"> already been specified. Besides the case that non-zero value is indicated to both fields, which can be assumed an error indication from network and is not needed to be specified, the mapping rule can be concluded as in the following Table 1.</w:t>
      </w:r>
    </w:p>
    <w:p>
      <w:pPr>
        <w:widowControl w:val="0"/>
        <w:adjustRightInd w:val="0"/>
        <w:snapToGrid w:val="0"/>
        <w:spacing w:before="72" w:beforeLines="30" w:after="72" w:afterLines="30" w:line="288" w:lineRule="auto"/>
        <w:jc w:val="center"/>
        <w:rPr>
          <w:rFonts w:eastAsia="等线"/>
        </w:rPr>
      </w:pPr>
      <w:r>
        <w:rPr>
          <w:rFonts w:hint="eastAsia" w:eastAsia="等线"/>
          <w:b/>
          <w:bCs/>
        </w:rPr>
        <w:t>Table 1</w:t>
      </w:r>
      <w:r>
        <w:rPr>
          <w:rFonts w:hint="eastAsia" w:eastAsia="等线"/>
        </w:rPr>
        <w:t xml:space="preserve"> </w:t>
      </w:r>
      <w:r>
        <w:rPr>
          <w:rFonts w:hint="eastAsia"/>
        </w:rPr>
        <w:t>Mapping of PRACH transmission and cell based on indications in PDCCH order</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320"/>
        <w:gridCol w:w="4199"/>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t>Cell indicator</w:t>
            </w:r>
          </w:p>
        </w:tc>
        <w:tc>
          <w:tcPr>
            <w:tcW w:w="1320" w:type="dxa"/>
            <w:vAlign w:val="center"/>
          </w:tcPr>
          <w:p>
            <w:pPr>
              <w:widowControl w:val="0"/>
              <w:adjustRightInd w:val="0"/>
              <w:snapToGrid w:val="0"/>
              <w:spacing w:before="72" w:beforeLines="30" w:after="72" w:afterLines="30" w:line="288" w:lineRule="auto"/>
              <w:jc w:val="center"/>
            </w:pPr>
            <w:r>
              <w:rPr>
                <w:rFonts w:eastAsia="等线"/>
              </w:rPr>
              <w:t>PRACH association indicator</w:t>
            </w:r>
          </w:p>
        </w:tc>
        <w:tc>
          <w:tcPr>
            <w:tcW w:w="4199" w:type="dxa"/>
            <w:vAlign w:val="center"/>
          </w:tcPr>
          <w:p>
            <w:pPr>
              <w:widowControl w:val="0"/>
              <w:adjustRightInd w:val="0"/>
              <w:snapToGrid w:val="0"/>
              <w:spacing w:before="72" w:beforeLines="30" w:after="72" w:afterLines="30" w:line="288" w:lineRule="auto"/>
              <w:jc w:val="center"/>
            </w:pPr>
            <w:r>
              <w:rPr>
                <w:rFonts w:hint="eastAsia"/>
              </w:rPr>
              <w:t>Field interpretation</w:t>
            </w:r>
          </w:p>
        </w:tc>
        <w:tc>
          <w:tcPr>
            <w:tcW w:w="2423" w:type="dxa"/>
            <w:vAlign w:val="center"/>
          </w:tcPr>
          <w:p>
            <w:pPr>
              <w:widowControl w:val="0"/>
              <w:adjustRightInd w:val="0"/>
              <w:snapToGrid w:val="0"/>
              <w:spacing w:before="72" w:beforeLines="30" w:after="72" w:afterLines="30" w:line="288" w:lineRule="auto"/>
              <w:jc w:val="center"/>
              <w:rPr>
                <w:rFonts w:hint="default" w:eastAsia="宋体"/>
                <w:lang w:val="en-US" w:eastAsia="zh-CN"/>
              </w:rPr>
            </w:pPr>
            <w:r>
              <w:rPr>
                <w:rFonts w:hint="eastAsia"/>
              </w:rPr>
              <w:t>Mapping</w:t>
            </w:r>
            <w:r>
              <w:t xml:space="preserve"> of PRACH transmission and serving cell/ candidate cell/ additionalPCI</w:t>
            </w:r>
            <w:r>
              <w:rPr>
                <w:rFonts w:hint="eastAsia" w:eastAsia="宋体"/>
                <w:lang w:val="en-US" w:eastAsia="zh-CN"/>
              </w:rPr>
              <w:t>/ PL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0</w:t>
            </w:r>
          </w:p>
        </w:tc>
        <w:tc>
          <w:tcPr>
            <w:tcW w:w="1320" w:type="dxa"/>
            <w:vAlign w:val="center"/>
          </w:tcPr>
          <w:p>
            <w:pPr>
              <w:widowControl w:val="0"/>
              <w:adjustRightInd w:val="0"/>
              <w:snapToGrid w:val="0"/>
              <w:spacing w:before="72" w:beforeLines="30" w:after="72" w:afterLines="30" w:line="288" w:lineRule="auto"/>
              <w:jc w:val="center"/>
            </w:pPr>
            <w:r>
              <w:rPr>
                <w:rFonts w:hint="eastAsia"/>
              </w:rPr>
              <w:t>0</w:t>
            </w:r>
          </w:p>
        </w:tc>
        <w:tc>
          <w:tcPr>
            <w:tcW w:w="4199" w:type="dxa"/>
            <w:vAlign w:val="center"/>
          </w:tcPr>
          <w:p>
            <w:pPr>
              <w:widowControl w:val="0"/>
              <w:adjustRightInd w:val="0"/>
              <w:snapToGrid w:val="0"/>
              <w:spacing w:before="72" w:beforeLines="30" w:after="72" w:afterLines="30" w:line="288" w:lineRule="auto"/>
              <w:jc w:val="both"/>
            </w:pPr>
            <w:r>
              <w:t>The bit field index 0 of the cell indicator field is mapped to the serving cell</w:t>
            </w:r>
            <w:r>
              <w:rPr>
                <w:rFonts w:hint="eastAsia"/>
              </w:rPr>
              <w:t>.</w:t>
            </w:r>
          </w:p>
          <w:p>
            <w:pPr>
              <w:widowControl w:val="0"/>
              <w:adjustRightInd w:val="0"/>
              <w:snapToGrid w:val="0"/>
              <w:spacing w:before="72" w:beforeLines="30" w:after="72" w:afterLines="30" w:line="288" w:lineRule="auto"/>
              <w:jc w:val="both"/>
              <w:rPr>
                <w:rFonts w:eastAsia="宋体"/>
              </w:rPr>
            </w:pP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PCI of the serving cell</w:t>
            </w:r>
            <w:r>
              <w:rPr>
                <w:rFonts w:hint="eastAsia" w:eastAsia="宋体"/>
              </w:rPr>
              <w:t>./</w:t>
            </w: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DL RS that the DM-RS of the PDCCH order is quasi-collocated with</w:t>
            </w:r>
            <w:r>
              <w:rPr>
                <w:rFonts w:hint="eastAsia" w:eastAsia="宋体"/>
              </w:rPr>
              <w:t>.</w:t>
            </w:r>
          </w:p>
        </w:tc>
        <w:tc>
          <w:tcPr>
            <w:tcW w:w="2423" w:type="dxa"/>
            <w:vAlign w:val="center"/>
          </w:tcPr>
          <w:p>
            <w:pPr>
              <w:widowControl w:val="0"/>
              <w:adjustRightInd w:val="0"/>
              <w:snapToGrid w:val="0"/>
              <w:spacing w:before="72" w:beforeLines="30" w:after="72" w:afterLines="30" w:line="288" w:lineRule="auto"/>
              <w:jc w:val="both"/>
              <w:rPr>
                <w:rFonts w:eastAsia="宋体"/>
              </w:rPr>
            </w:pPr>
            <w:r>
              <w:rPr>
                <w:rFonts w:hint="eastAsia" w:eastAsia="宋体"/>
              </w:rPr>
              <w:t>PRACH transmission is mapped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0</w:t>
            </w:r>
          </w:p>
        </w:tc>
        <w:tc>
          <w:tcPr>
            <w:tcW w:w="1320" w:type="dxa"/>
            <w:vAlign w:val="center"/>
          </w:tcPr>
          <w:p>
            <w:pPr>
              <w:widowControl w:val="0"/>
              <w:adjustRightInd w:val="0"/>
              <w:snapToGrid w:val="0"/>
              <w:spacing w:before="72" w:beforeLines="30" w:after="72" w:afterLines="30" w:line="288" w:lineRule="auto"/>
              <w:jc w:val="center"/>
            </w:pPr>
            <w:r>
              <w:rPr>
                <w:rFonts w:hint="eastAsia"/>
              </w:rPr>
              <w:t>1</w:t>
            </w:r>
          </w:p>
        </w:tc>
        <w:tc>
          <w:tcPr>
            <w:tcW w:w="4199" w:type="dxa"/>
            <w:vAlign w:val="center"/>
          </w:tcPr>
          <w:p>
            <w:pPr>
              <w:widowControl w:val="0"/>
              <w:adjustRightInd w:val="0"/>
              <w:snapToGrid w:val="0"/>
              <w:spacing w:before="72" w:beforeLines="30" w:after="72" w:afterLines="30" w:line="288" w:lineRule="auto"/>
              <w:jc w:val="both"/>
            </w:pPr>
            <w:r>
              <w:t>The bit field index 0 of the cell indicator field is mapped to the serving cell</w:t>
            </w:r>
            <w:r>
              <w:rPr>
                <w:rFonts w:hint="eastAsia"/>
              </w:rPr>
              <w:t>.</w:t>
            </w:r>
          </w:p>
          <w:p>
            <w:pPr>
              <w:widowControl w:val="0"/>
              <w:adjustRightInd w:val="0"/>
              <w:snapToGrid w:val="0"/>
              <w:spacing w:before="72" w:beforeLines="30" w:after="72" w:afterLines="30" w:line="288" w:lineRule="auto"/>
              <w:jc w:val="both"/>
              <w:rPr>
                <w:rFonts w:eastAsia="宋体"/>
              </w:rPr>
            </w:pPr>
            <w:r>
              <w:rPr>
                <w:rFonts w:hint="eastAsia" w:eastAsia="宋体"/>
              </w:rPr>
              <w:t>T</w:t>
            </w:r>
            <w:r>
              <w:rPr>
                <w:rFonts w:eastAsia="宋体"/>
              </w:rPr>
              <w:t xml:space="preserve">he bit field index 1 of this field is mapped to the additional PCI </w:t>
            </w:r>
            <w:r>
              <w:rPr>
                <w:rFonts w:eastAsia="等线"/>
                <w:color w:val="000000" w:themeColor="text1"/>
                <w14:textFill>
                  <w14:solidFill>
                    <w14:schemeClr w14:val="tx1"/>
                  </w14:solidFill>
                </w14:textFill>
              </w:rPr>
              <w:t>associated with active TCI states</w:t>
            </w:r>
            <w:r>
              <w:rPr>
                <w:rFonts w:eastAsia="宋体"/>
              </w:rPr>
              <w:t>.</w:t>
            </w:r>
            <w:r>
              <w:rPr>
                <w:rFonts w:hint="eastAsia" w:eastAsia="宋体"/>
              </w:rPr>
              <w:t>/T</w:t>
            </w:r>
            <w:r>
              <w:rPr>
                <w:rFonts w:eastAsia="宋体"/>
              </w:rPr>
              <w:t>he bit field index 1 of this field is mapped to the SS/PBCH indicated by the SS/PBCH index field in this DCI format</w:t>
            </w:r>
            <w:r>
              <w:rPr>
                <w:rFonts w:hint="eastAsia" w:eastAsia="宋体"/>
              </w:rPr>
              <w:t>.</w:t>
            </w:r>
          </w:p>
        </w:tc>
        <w:tc>
          <w:tcPr>
            <w:tcW w:w="2423" w:type="dxa"/>
            <w:vAlign w:val="center"/>
          </w:tcPr>
          <w:p>
            <w:pPr>
              <w:widowControl w:val="0"/>
              <w:adjustRightInd w:val="0"/>
              <w:snapToGrid w:val="0"/>
              <w:spacing w:before="72" w:beforeLines="30" w:after="72" w:afterLines="30" w:line="288" w:lineRule="auto"/>
              <w:jc w:val="both"/>
              <w:rPr>
                <w:rFonts w:eastAsia="宋体"/>
              </w:rPr>
            </w:pPr>
            <w:r>
              <w:rPr>
                <w:rFonts w:hint="eastAsia" w:eastAsia="宋体"/>
              </w:rPr>
              <w:t>Ambiguity on PRACH transmission is mapped to serving cell or additional PCI.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non-zero</w:t>
            </w:r>
          </w:p>
        </w:tc>
        <w:tc>
          <w:tcPr>
            <w:tcW w:w="1320" w:type="dxa"/>
            <w:vAlign w:val="center"/>
          </w:tcPr>
          <w:p>
            <w:pPr>
              <w:widowControl w:val="0"/>
              <w:adjustRightInd w:val="0"/>
              <w:snapToGrid w:val="0"/>
              <w:spacing w:before="72" w:beforeLines="30" w:after="72" w:afterLines="30" w:line="288" w:lineRule="auto"/>
              <w:jc w:val="center"/>
            </w:pPr>
            <w:r>
              <w:rPr>
                <w:rFonts w:hint="eastAsia"/>
              </w:rPr>
              <w:t>0</w:t>
            </w:r>
          </w:p>
        </w:tc>
        <w:tc>
          <w:tcPr>
            <w:tcW w:w="4199" w:type="dxa"/>
            <w:vAlign w:val="center"/>
          </w:tcPr>
          <w:p>
            <w:pPr>
              <w:widowControl w:val="0"/>
              <w:adjustRightInd w:val="0"/>
              <w:snapToGrid w:val="0"/>
              <w:spacing w:before="72" w:beforeLines="30" w:after="72" w:afterLines="30" w:line="288" w:lineRule="auto"/>
              <w:jc w:val="both"/>
            </w:pPr>
            <w:r>
              <w:rPr>
                <w:rFonts w:hint="eastAsia"/>
              </w:rPr>
              <w:t>O</w:t>
            </w:r>
            <w:r>
              <w:t>ther bit field indexes</w:t>
            </w:r>
            <w:r>
              <w:rPr>
                <w:rFonts w:hint="eastAsia"/>
              </w:rPr>
              <w:t xml:space="preserve"> (e.g., except 0)</w:t>
            </w:r>
            <w:r>
              <w:t xml:space="preserve"> are mapped to the candidate cells</w:t>
            </w:r>
            <w:r>
              <w:rPr>
                <w:rFonts w:hint="eastAsia"/>
              </w:rPr>
              <w:t>.</w:t>
            </w:r>
          </w:p>
          <w:p>
            <w:pPr>
              <w:widowControl w:val="0"/>
              <w:adjustRightInd w:val="0"/>
              <w:snapToGrid w:val="0"/>
              <w:spacing w:before="72" w:beforeLines="30" w:after="72" w:afterLines="30" w:line="288" w:lineRule="auto"/>
              <w:jc w:val="both"/>
            </w:pP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PCI of the serving cell</w:t>
            </w:r>
            <w:r>
              <w:rPr>
                <w:rFonts w:hint="eastAsia" w:eastAsia="宋体"/>
              </w:rPr>
              <w:t>./</w:t>
            </w: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DL RS that the DM-RS of the PDCCH order is quasi-collocated with</w:t>
            </w:r>
            <w:r>
              <w:rPr>
                <w:rFonts w:hint="eastAsia" w:eastAsia="宋体"/>
              </w:rPr>
              <w:t>.</w:t>
            </w:r>
          </w:p>
        </w:tc>
        <w:tc>
          <w:tcPr>
            <w:tcW w:w="2423" w:type="dxa"/>
            <w:vAlign w:val="center"/>
          </w:tcPr>
          <w:p>
            <w:pPr>
              <w:widowControl w:val="0"/>
              <w:adjustRightInd w:val="0"/>
              <w:snapToGrid w:val="0"/>
              <w:spacing w:before="72" w:beforeLines="30" w:after="72" w:afterLines="30" w:line="288" w:lineRule="auto"/>
              <w:jc w:val="both"/>
              <w:rPr>
                <w:rFonts w:eastAsia="宋体"/>
              </w:rPr>
            </w:pPr>
            <w:r>
              <w:rPr>
                <w:rFonts w:hint="eastAsia" w:eastAsia="宋体"/>
              </w:rPr>
              <w:t>Ambiguity on PRACH transmission is mapped to candidate cell or serving cell.</w:t>
            </w:r>
          </w:p>
          <w:p>
            <w:pPr>
              <w:widowControl w:val="0"/>
              <w:adjustRightInd w:val="0"/>
              <w:snapToGrid w:val="0"/>
              <w:spacing w:before="72" w:beforeLines="30" w:after="72" w:afterLines="30" w:line="288" w:lineRule="auto"/>
              <w:jc w:val="both"/>
              <w:rPr>
                <w:rFonts w:eastAsia="宋体"/>
              </w:rPr>
            </w:pPr>
            <w:r>
              <w:rPr>
                <w:rFonts w:hint="eastAsia" w:eastAsia="宋体"/>
              </w:rPr>
              <w:t>Misleading that PRACH transmission is mapped to DL RS that the DM-RS of the PDCCH order is QCLed, but it should be mapped to the SSB indicated by the DCI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non-zero</w:t>
            </w:r>
          </w:p>
        </w:tc>
        <w:tc>
          <w:tcPr>
            <w:tcW w:w="1320" w:type="dxa"/>
            <w:vAlign w:val="center"/>
          </w:tcPr>
          <w:p>
            <w:pPr>
              <w:widowControl w:val="0"/>
              <w:adjustRightInd w:val="0"/>
              <w:snapToGrid w:val="0"/>
              <w:spacing w:before="72" w:beforeLines="30" w:after="72" w:afterLines="30" w:line="288" w:lineRule="auto"/>
              <w:jc w:val="center"/>
            </w:pPr>
            <w:r>
              <w:rPr>
                <w:rFonts w:hint="eastAsia"/>
              </w:rPr>
              <w:t>1</w:t>
            </w:r>
          </w:p>
        </w:tc>
        <w:tc>
          <w:tcPr>
            <w:tcW w:w="4199" w:type="dxa"/>
            <w:vAlign w:val="center"/>
          </w:tcPr>
          <w:p>
            <w:pPr>
              <w:widowControl w:val="0"/>
              <w:adjustRightInd w:val="0"/>
              <w:snapToGrid w:val="0"/>
              <w:spacing w:before="72" w:beforeLines="30" w:after="72" w:afterLines="30" w:line="288" w:lineRule="auto"/>
              <w:jc w:val="center"/>
            </w:pPr>
            <w:r>
              <w:rPr>
                <w:rFonts w:hint="eastAsia"/>
              </w:rPr>
              <w:t>X</w:t>
            </w:r>
          </w:p>
        </w:tc>
        <w:tc>
          <w:tcPr>
            <w:tcW w:w="2423" w:type="dxa"/>
            <w:vAlign w:val="center"/>
          </w:tcPr>
          <w:p>
            <w:pPr>
              <w:widowControl w:val="0"/>
              <w:adjustRightInd w:val="0"/>
              <w:snapToGrid w:val="0"/>
              <w:spacing w:before="72" w:beforeLines="30" w:after="72" w:afterLines="30" w:line="288" w:lineRule="auto"/>
              <w:jc w:val="center"/>
            </w:pPr>
            <w:r>
              <w:rPr>
                <w:rFonts w:hint="eastAsia"/>
              </w:rPr>
              <w:t>X</w:t>
            </w:r>
          </w:p>
        </w:tc>
      </w:tr>
    </w:tbl>
    <w:p>
      <w:pPr>
        <w:pStyle w:val="101"/>
        <w:snapToGrid w:val="0"/>
        <w:spacing w:before="72" w:beforeLines="30" w:after="72" w:afterLines="30" w:line="288" w:lineRule="auto"/>
        <w:ind w:firstLine="0" w:firstLineChars="0"/>
        <w:jc w:val="both"/>
        <w:rPr>
          <w:rFonts w:eastAsia="宋体"/>
          <w:szCs w:val="20"/>
        </w:rPr>
      </w:pPr>
      <w:r>
        <w:rPr>
          <w:rFonts w:hint="eastAsia"/>
        </w:rPr>
        <w:t>It can be seen that ambiguity on the mapping of PRACH transmission and cell exists when one of the two field indicates a zero value. Hence, a clarification is needed for the mapping rule in such case.</w:t>
      </w:r>
    </w:p>
    <w:p>
      <w:pPr>
        <w:snapToGrid w:val="0"/>
        <w:spacing w:before="60" w:after="60" w:line="288" w:lineRule="auto"/>
        <w:jc w:val="both"/>
        <w:rPr>
          <w:rFonts w:eastAsia="宋体"/>
          <w:iCs/>
          <w:szCs w:val="20"/>
        </w:rPr>
      </w:pPr>
      <w:r>
        <w:rPr>
          <w:rFonts w:hint="eastAsia" w:eastAsia="宋体"/>
          <w:iCs/>
          <w:szCs w:val="20"/>
        </w:rPr>
        <w:t>In principle, due to LTM TA and MTRP two-TA should be independent, we prefer not to introduce a</w:t>
      </w:r>
      <w:r>
        <w:rPr>
          <w:rFonts w:eastAsia="宋体"/>
          <w:iCs/>
          <w:szCs w:val="20"/>
        </w:rPr>
        <w:t>n</w:t>
      </w:r>
      <w:r>
        <w:rPr>
          <w:rFonts w:hint="eastAsia" w:eastAsia="宋体"/>
          <w:iCs/>
          <w:szCs w:val="20"/>
        </w:rPr>
        <w:t xml:space="preserve"> implicit priority for interpretations of the Cell indicator field and PRACH association indicator field, e.g., PRACH association field is reserved if the cell indicated by Cell indicator field is a serving cell but not a candidate cell. Such condition is applied for PRACH retransmission indicator for the reason that it is used for LTM TA as well, but it should not be reused here.</w:t>
      </w:r>
    </w:p>
    <w:p>
      <w:pPr>
        <w:snapToGrid w:val="0"/>
        <w:spacing w:before="60" w:after="60" w:line="288" w:lineRule="auto"/>
        <w:jc w:val="both"/>
        <w:rPr>
          <w:rFonts w:eastAsia="宋体"/>
          <w:iCs/>
          <w:szCs w:val="20"/>
        </w:rPr>
      </w:pPr>
      <w:r>
        <w:rPr>
          <w:rFonts w:hint="eastAsia" w:eastAsia="宋体"/>
          <w:iCs/>
          <w:szCs w:val="20"/>
        </w:rPr>
        <w:t xml:space="preserve">The ambiguity can be </w:t>
      </w:r>
      <w:r>
        <w:rPr>
          <w:rFonts w:eastAsia="宋体"/>
          <w:iCs/>
          <w:szCs w:val="20"/>
        </w:rPr>
        <w:t>addressed</w:t>
      </w:r>
      <w:r>
        <w:rPr>
          <w:rFonts w:hint="eastAsia" w:eastAsia="宋体"/>
          <w:iCs/>
          <w:szCs w:val="20"/>
        </w:rPr>
        <w:t xml:space="preserve"> by introducing a condition for interpretation of PRACH association field to preclude the conflict of mappings respectively indicated by Cell indicator field and PRACH association indicator field, i.e., t</w:t>
      </w:r>
      <w:r>
        <w:rPr>
          <w:rFonts w:eastAsia="宋体"/>
        </w:rPr>
        <w:t xml:space="preserve">he bit field index 0 of </w:t>
      </w:r>
      <w:r>
        <w:rPr>
          <w:rFonts w:eastAsia="等线"/>
        </w:rPr>
        <w:t>PRACH association indicator</w:t>
      </w:r>
      <w:r>
        <w:rPr>
          <w:rFonts w:hint="eastAsia" w:eastAsia="等线"/>
        </w:rPr>
        <w:t xml:space="preserve"> </w:t>
      </w:r>
      <w:r>
        <w:rPr>
          <w:rFonts w:eastAsia="宋体"/>
        </w:rPr>
        <w:t>field is mapped to the PCI of the serving cell</w:t>
      </w:r>
      <w:r>
        <w:rPr>
          <w:rFonts w:hint="eastAsia" w:eastAsia="宋体"/>
        </w:rPr>
        <w:t xml:space="preserve"> or t</w:t>
      </w:r>
      <w:r>
        <w:rPr>
          <w:rFonts w:eastAsia="宋体"/>
        </w:rPr>
        <w:t xml:space="preserve">he bit field index 0 of </w:t>
      </w:r>
      <w:r>
        <w:rPr>
          <w:rFonts w:eastAsia="等线"/>
        </w:rPr>
        <w:t>PRACH association indicator</w:t>
      </w:r>
      <w:r>
        <w:rPr>
          <w:rFonts w:hint="eastAsia" w:eastAsia="等线"/>
        </w:rPr>
        <w:t xml:space="preserve"> </w:t>
      </w:r>
      <w:r>
        <w:rPr>
          <w:rFonts w:eastAsia="宋体"/>
        </w:rPr>
        <w:t>field is mapped to the DL RS that the DM-RS of the PDCCH order is quasi-collocated with</w:t>
      </w:r>
      <w:r>
        <w:rPr>
          <w:rFonts w:hint="eastAsia" w:eastAsia="宋体"/>
        </w:rPr>
        <w:t xml:space="preserve">, </w:t>
      </w:r>
      <w:r>
        <w:rPr>
          <w:rFonts w:hint="eastAsia" w:eastAsia="宋体"/>
          <w:b/>
          <w:bCs/>
          <w:u w:val="single"/>
        </w:rPr>
        <w:t>if the cell indicated by Cell indicator field is the serving cell</w:t>
      </w:r>
      <w:r>
        <w:rPr>
          <w:rFonts w:hint="eastAsia" w:eastAsia="宋体"/>
        </w:rPr>
        <w:t xml:space="preserve">, and </w:t>
      </w:r>
      <w:r>
        <w:rPr>
          <w:rFonts w:hint="eastAsia" w:eastAsia="宋体"/>
          <w:iCs/>
          <w:szCs w:val="20"/>
        </w:rPr>
        <w:t>t</w:t>
      </w:r>
      <w:r>
        <w:rPr>
          <w:rFonts w:eastAsia="宋体"/>
        </w:rPr>
        <w:t xml:space="preserve">he bit field index </w:t>
      </w:r>
      <w:r>
        <w:rPr>
          <w:rFonts w:hint="eastAsia" w:eastAsia="宋体"/>
        </w:rPr>
        <w:t>1</w:t>
      </w:r>
      <w:r>
        <w:rPr>
          <w:rFonts w:eastAsia="宋体"/>
        </w:rPr>
        <w:t xml:space="preserve"> of </w:t>
      </w:r>
      <w:r>
        <w:rPr>
          <w:rFonts w:eastAsia="等线"/>
        </w:rPr>
        <w:t>PRACH association indicator</w:t>
      </w:r>
      <w:r>
        <w:rPr>
          <w:rFonts w:hint="eastAsia" w:eastAsia="等线"/>
        </w:rPr>
        <w:t xml:space="preserve"> </w:t>
      </w:r>
      <w:r>
        <w:rPr>
          <w:rFonts w:eastAsia="宋体"/>
        </w:rPr>
        <w:t xml:space="preserve">field is mapped to the additional PCI </w:t>
      </w:r>
      <w:r>
        <w:rPr>
          <w:rFonts w:eastAsia="等线"/>
          <w:color w:val="000000" w:themeColor="text1"/>
          <w14:textFill>
            <w14:solidFill>
              <w14:schemeClr w14:val="tx1"/>
            </w14:solidFill>
          </w14:textFill>
        </w:rPr>
        <w:t>associated with active TCI states</w:t>
      </w:r>
      <w:r>
        <w:rPr>
          <w:rFonts w:hint="eastAsia" w:eastAsia="等线"/>
          <w:color w:val="000000" w:themeColor="text1"/>
          <w14:textFill>
            <w14:solidFill>
              <w14:schemeClr w14:val="tx1"/>
            </w14:solidFill>
          </w14:textFill>
        </w:rPr>
        <w:t xml:space="preserve"> </w:t>
      </w:r>
      <w:r>
        <w:rPr>
          <w:rFonts w:hint="eastAsia" w:eastAsia="等线"/>
          <w:b/>
          <w:bCs/>
          <w:color w:val="000000" w:themeColor="text1"/>
          <w:u w:val="single"/>
          <w14:textFill>
            <w14:solidFill>
              <w14:schemeClr w14:val="tx1"/>
            </w14:solidFill>
          </w14:textFill>
        </w:rPr>
        <w:t>configured for the serving cell</w:t>
      </w:r>
      <w:r>
        <w:rPr>
          <w:rFonts w:hint="eastAsia" w:eastAsia="宋体"/>
        </w:rPr>
        <w:t>.</w:t>
      </w:r>
    </w:p>
    <w:p>
      <w:pPr>
        <w:snapToGrid w:val="0"/>
        <w:spacing w:before="60" w:after="60" w:line="288" w:lineRule="auto"/>
        <w:jc w:val="both"/>
        <w:rPr>
          <w:rFonts w:eastAsia="宋体"/>
          <w:iCs/>
          <w:szCs w:val="20"/>
        </w:rPr>
      </w:pPr>
      <w:r>
        <w:rPr>
          <w:rFonts w:hint="eastAsia" w:eastAsia="宋体"/>
          <w:iCs/>
          <w:szCs w:val="20"/>
        </w:rPr>
        <w:t xml:space="preserve">Accordingly, the mapping rule can be clarified as in </w:t>
      </w:r>
      <w:r>
        <w:rPr>
          <w:rFonts w:eastAsia="宋体"/>
          <w:iCs/>
          <w:szCs w:val="20"/>
        </w:rPr>
        <w:t xml:space="preserve">the following </w:t>
      </w:r>
      <w:r>
        <w:rPr>
          <w:rFonts w:hint="eastAsia" w:eastAsia="宋体"/>
          <w:iCs/>
          <w:szCs w:val="20"/>
        </w:rPr>
        <w:t xml:space="preserve">Table 2. </w:t>
      </w:r>
    </w:p>
    <w:p>
      <w:pPr>
        <w:snapToGrid w:val="0"/>
        <w:spacing w:before="60" w:after="60" w:line="288" w:lineRule="auto"/>
        <w:jc w:val="center"/>
        <w:rPr>
          <w:rFonts w:eastAsia="宋体"/>
          <w:iCs/>
          <w:szCs w:val="20"/>
        </w:rPr>
      </w:pPr>
      <w:r>
        <w:rPr>
          <w:rFonts w:hint="eastAsia" w:eastAsia="等线"/>
          <w:b/>
          <w:bCs/>
        </w:rPr>
        <w:t>Table 2</w:t>
      </w:r>
      <w:r>
        <w:rPr>
          <w:rFonts w:hint="eastAsia" w:eastAsia="等线"/>
        </w:rPr>
        <w:t xml:space="preserve"> </w:t>
      </w:r>
      <w:r>
        <w:rPr>
          <w:rFonts w:hint="eastAsia"/>
        </w:rPr>
        <w:t>Mapping of PRACH transmission and cell based on indications in PDCCH order</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320"/>
        <w:gridCol w:w="4199"/>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t>Cell indicator</w:t>
            </w:r>
          </w:p>
        </w:tc>
        <w:tc>
          <w:tcPr>
            <w:tcW w:w="1320" w:type="dxa"/>
            <w:vAlign w:val="center"/>
          </w:tcPr>
          <w:p>
            <w:pPr>
              <w:widowControl w:val="0"/>
              <w:adjustRightInd w:val="0"/>
              <w:snapToGrid w:val="0"/>
              <w:spacing w:before="72" w:beforeLines="30" w:after="72" w:afterLines="30" w:line="288" w:lineRule="auto"/>
              <w:jc w:val="center"/>
            </w:pPr>
            <w:r>
              <w:rPr>
                <w:rFonts w:eastAsia="等线"/>
              </w:rPr>
              <w:t>PRACH association indicator</w:t>
            </w:r>
          </w:p>
        </w:tc>
        <w:tc>
          <w:tcPr>
            <w:tcW w:w="4199" w:type="dxa"/>
            <w:vAlign w:val="center"/>
          </w:tcPr>
          <w:p>
            <w:pPr>
              <w:widowControl w:val="0"/>
              <w:adjustRightInd w:val="0"/>
              <w:snapToGrid w:val="0"/>
              <w:spacing w:before="72" w:beforeLines="30" w:after="72" w:afterLines="30" w:line="288" w:lineRule="auto"/>
              <w:jc w:val="center"/>
            </w:pPr>
            <w:r>
              <w:rPr>
                <w:rFonts w:hint="eastAsia"/>
              </w:rPr>
              <w:t>Field interpretation</w:t>
            </w:r>
          </w:p>
        </w:tc>
        <w:tc>
          <w:tcPr>
            <w:tcW w:w="2423" w:type="dxa"/>
            <w:vAlign w:val="center"/>
          </w:tcPr>
          <w:p>
            <w:pPr>
              <w:widowControl w:val="0"/>
              <w:adjustRightInd w:val="0"/>
              <w:snapToGrid w:val="0"/>
              <w:spacing w:before="72" w:beforeLines="30" w:after="72" w:afterLines="30" w:line="288" w:lineRule="auto"/>
              <w:jc w:val="center"/>
            </w:pPr>
            <w:r>
              <w:rPr>
                <w:rFonts w:hint="eastAsia"/>
              </w:rPr>
              <w:t>Mapping</w:t>
            </w:r>
            <w:r>
              <w:t xml:space="preserve"> of PRACH transmission and serving cell/ candidate cell/ additionalPCI</w:t>
            </w:r>
            <w:r>
              <w:rPr>
                <w:rFonts w:hint="eastAsia" w:eastAsia="宋体"/>
                <w:lang w:val="en-US" w:eastAsia="zh-CN"/>
              </w:rPr>
              <w:t>/ PL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0</w:t>
            </w:r>
          </w:p>
        </w:tc>
        <w:tc>
          <w:tcPr>
            <w:tcW w:w="1320" w:type="dxa"/>
            <w:vAlign w:val="center"/>
          </w:tcPr>
          <w:p>
            <w:pPr>
              <w:widowControl w:val="0"/>
              <w:adjustRightInd w:val="0"/>
              <w:snapToGrid w:val="0"/>
              <w:spacing w:before="72" w:beforeLines="30" w:after="72" w:afterLines="30" w:line="288" w:lineRule="auto"/>
              <w:jc w:val="center"/>
            </w:pPr>
            <w:r>
              <w:rPr>
                <w:rFonts w:hint="eastAsia"/>
              </w:rPr>
              <w:t>0</w:t>
            </w:r>
          </w:p>
        </w:tc>
        <w:tc>
          <w:tcPr>
            <w:tcW w:w="4199" w:type="dxa"/>
            <w:vAlign w:val="center"/>
          </w:tcPr>
          <w:p>
            <w:pPr>
              <w:widowControl w:val="0"/>
              <w:adjustRightInd w:val="0"/>
              <w:snapToGrid w:val="0"/>
              <w:spacing w:before="72" w:beforeLines="30" w:after="72" w:afterLines="30" w:line="288" w:lineRule="auto"/>
              <w:jc w:val="both"/>
            </w:pPr>
            <w:r>
              <w:t>The bit field index 0 of the cell indicator field is mapped to the serving cell</w:t>
            </w:r>
            <w:r>
              <w:rPr>
                <w:rFonts w:hint="eastAsia"/>
              </w:rPr>
              <w:t>.</w:t>
            </w:r>
          </w:p>
          <w:p>
            <w:pPr>
              <w:widowControl w:val="0"/>
              <w:adjustRightInd w:val="0"/>
              <w:snapToGrid w:val="0"/>
              <w:spacing w:before="72" w:beforeLines="30" w:after="72" w:afterLines="30" w:line="288" w:lineRule="auto"/>
              <w:jc w:val="both"/>
              <w:rPr>
                <w:rFonts w:eastAsia="宋体"/>
              </w:rPr>
            </w:pP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PCI of the serving cell</w:t>
            </w:r>
            <w:r>
              <w:rPr>
                <w:rFonts w:hint="eastAsia" w:eastAsia="宋体"/>
              </w:rPr>
              <w:t>./</w:t>
            </w: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DL RS that the DM-RS of the PDCCH order is quasi-collocated with</w:t>
            </w:r>
            <w:r>
              <w:rPr>
                <w:rFonts w:hint="eastAsia" w:eastAsia="宋体"/>
              </w:rPr>
              <w:t>.</w:t>
            </w:r>
          </w:p>
        </w:tc>
        <w:tc>
          <w:tcPr>
            <w:tcW w:w="2423" w:type="dxa"/>
            <w:vAlign w:val="center"/>
          </w:tcPr>
          <w:p>
            <w:pPr>
              <w:widowControl w:val="0"/>
              <w:adjustRightInd w:val="0"/>
              <w:snapToGrid w:val="0"/>
              <w:spacing w:before="72" w:beforeLines="30" w:after="72" w:afterLines="30" w:line="288" w:lineRule="auto"/>
              <w:jc w:val="both"/>
              <w:rPr>
                <w:rFonts w:eastAsia="宋体"/>
              </w:rPr>
            </w:pPr>
            <w:r>
              <w:rPr>
                <w:rFonts w:hint="eastAsia" w:eastAsia="宋体"/>
              </w:rPr>
              <w:t>PRACH transmission is mapped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0</w:t>
            </w:r>
          </w:p>
        </w:tc>
        <w:tc>
          <w:tcPr>
            <w:tcW w:w="1320" w:type="dxa"/>
            <w:vAlign w:val="center"/>
          </w:tcPr>
          <w:p>
            <w:pPr>
              <w:widowControl w:val="0"/>
              <w:adjustRightInd w:val="0"/>
              <w:snapToGrid w:val="0"/>
              <w:spacing w:before="72" w:beforeLines="30" w:after="72" w:afterLines="30" w:line="288" w:lineRule="auto"/>
              <w:jc w:val="center"/>
            </w:pPr>
            <w:r>
              <w:rPr>
                <w:rFonts w:hint="eastAsia"/>
              </w:rPr>
              <w:t>1</w:t>
            </w:r>
          </w:p>
        </w:tc>
        <w:tc>
          <w:tcPr>
            <w:tcW w:w="4199" w:type="dxa"/>
            <w:vAlign w:val="center"/>
          </w:tcPr>
          <w:p>
            <w:pPr>
              <w:widowControl w:val="0"/>
              <w:adjustRightInd w:val="0"/>
              <w:snapToGrid w:val="0"/>
              <w:spacing w:before="72" w:beforeLines="30" w:after="72" w:afterLines="30" w:line="288" w:lineRule="auto"/>
              <w:jc w:val="both"/>
            </w:pPr>
            <w:r>
              <w:t>The bit field index 0 of the cell indicator field is mapped to the serving cell</w:t>
            </w:r>
            <w:r>
              <w:rPr>
                <w:rFonts w:hint="eastAsia"/>
              </w:rPr>
              <w:t>.</w:t>
            </w:r>
          </w:p>
          <w:p>
            <w:pPr>
              <w:widowControl w:val="0"/>
              <w:adjustRightInd w:val="0"/>
              <w:snapToGrid w:val="0"/>
              <w:spacing w:before="72" w:beforeLines="30" w:after="72" w:afterLines="30" w:line="288" w:lineRule="auto"/>
              <w:jc w:val="both"/>
              <w:rPr>
                <w:rFonts w:eastAsia="宋体"/>
              </w:rPr>
            </w:pPr>
            <w:r>
              <w:rPr>
                <w:rFonts w:hint="eastAsia" w:eastAsia="宋体"/>
              </w:rPr>
              <w:t>T</w:t>
            </w:r>
            <w:r>
              <w:rPr>
                <w:rFonts w:eastAsia="宋体"/>
              </w:rPr>
              <w:t xml:space="preserve">he bit field index 1 of this field is mapped to the additional PCI </w:t>
            </w:r>
            <w:r>
              <w:rPr>
                <w:rFonts w:eastAsia="等线"/>
                <w:color w:val="000000" w:themeColor="text1"/>
                <w14:textFill>
                  <w14:solidFill>
                    <w14:schemeClr w14:val="tx1"/>
                  </w14:solidFill>
                </w14:textFill>
              </w:rPr>
              <w:t>associated with active TCI states</w:t>
            </w:r>
            <w:r>
              <w:rPr>
                <w:rFonts w:hint="eastAsia" w:eastAsia="等线"/>
                <w:color w:val="000000" w:themeColor="text1"/>
                <w14:textFill>
                  <w14:solidFill>
                    <w14:schemeClr w14:val="tx1"/>
                  </w14:solidFill>
                </w14:textFill>
              </w:rPr>
              <w:t xml:space="preserve"> configured for the serving cell</w:t>
            </w:r>
            <w:r>
              <w:rPr>
                <w:rFonts w:eastAsia="宋体"/>
              </w:rPr>
              <w:t>.</w:t>
            </w:r>
            <w:r>
              <w:rPr>
                <w:rFonts w:hint="eastAsia" w:eastAsia="宋体"/>
              </w:rPr>
              <w:t>/T</w:t>
            </w:r>
            <w:r>
              <w:rPr>
                <w:rFonts w:eastAsia="宋体"/>
              </w:rPr>
              <w:t>he bit field index 1 of this field is mapped to the SS/PBCH indicated by the SS/PBCH index field in this DCI format</w:t>
            </w:r>
            <w:r>
              <w:rPr>
                <w:rFonts w:hint="eastAsia" w:eastAsia="宋体"/>
              </w:rPr>
              <w:t>.</w:t>
            </w:r>
          </w:p>
        </w:tc>
        <w:tc>
          <w:tcPr>
            <w:tcW w:w="2423" w:type="dxa"/>
            <w:vAlign w:val="center"/>
          </w:tcPr>
          <w:p>
            <w:pPr>
              <w:widowControl w:val="0"/>
              <w:adjustRightInd w:val="0"/>
              <w:snapToGrid w:val="0"/>
              <w:spacing w:before="72" w:beforeLines="30" w:after="72" w:afterLines="30" w:line="288" w:lineRule="auto"/>
              <w:jc w:val="both"/>
              <w:rPr>
                <w:rFonts w:hint="eastAsia" w:eastAsia="宋体"/>
              </w:rPr>
            </w:pPr>
            <w:r>
              <w:rPr>
                <w:rFonts w:hint="eastAsia" w:eastAsia="宋体"/>
              </w:rPr>
              <w:t xml:space="preserve">PRACH transmission is mapped to the </w:t>
            </w:r>
            <w:r>
              <w:rPr>
                <w:rFonts w:eastAsia="宋体"/>
              </w:rPr>
              <w:t xml:space="preserve">additional PCI </w:t>
            </w:r>
            <w:r>
              <w:rPr>
                <w:rFonts w:eastAsia="等线"/>
                <w:color w:val="000000" w:themeColor="text1"/>
                <w14:textFill>
                  <w14:solidFill>
                    <w14:schemeClr w14:val="tx1"/>
                  </w14:solidFill>
                </w14:textFill>
              </w:rPr>
              <w:t>associated with active TCI states</w:t>
            </w:r>
            <w:r>
              <w:rPr>
                <w:rFonts w:hint="eastAsia" w:eastAsia="等线"/>
                <w:color w:val="000000" w:themeColor="text1"/>
                <w14:textFill>
                  <w14:solidFill>
                    <w14:schemeClr w14:val="tx1"/>
                  </w14:solidFill>
                </w14:textFill>
              </w:rPr>
              <w:t xml:space="preserve"> configured for </w:t>
            </w:r>
            <w:r>
              <w:rPr>
                <w:rFonts w:hint="eastAsia" w:eastAsia="宋体"/>
              </w:rPr>
              <w:t>the serving cell.</w:t>
            </w:r>
          </w:p>
          <w:p>
            <w:pPr>
              <w:widowControl w:val="0"/>
              <w:adjustRightInd w:val="0"/>
              <w:snapToGrid w:val="0"/>
              <w:spacing w:before="72" w:beforeLines="30" w:after="72" w:afterLines="30" w:line="288" w:lineRule="auto"/>
              <w:jc w:val="both"/>
              <w:rPr>
                <w:rFonts w:hint="default" w:eastAsia="宋体"/>
                <w:lang w:val="en-US" w:eastAsia="zh-CN"/>
              </w:rPr>
            </w:pPr>
            <w:r>
              <w:rPr>
                <w:rFonts w:hint="eastAsia" w:eastAsia="宋体"/>
                <w:lang w:val="en-US" w:eastAsia="zh-CN"/>
              </w:rPr>
              <w:t xml:space="preserve">Or, </w:t>
            </w:r>
            <w:r>
              <w:rPr>
                <w:rFonts w:hint="eastAsia" w:eastAsia="宋体"/>
              </w:rPr>
              <w:t>PRACH transmission</w:t>
            </w:r>
            <w:r>
              <w:rPr>
                <w:rFonts w:eastAsia="宋体"/>
              </w:rPr>
              <w:t xml:space="preserve"> is mapped to the SS/PBCH indicated by the SS/PBCH index field in this DCI format</w:t>
            </w:r>
            <w:r>
              <w:rPr>
                <w:rFonts w:hint="eastAsia"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non-zero</w:t>
            </w:r>
          </w:p>
        </w:tc>
        <w:tc>
          <w:tcPr>
            <w:tcW w:w="1320" w:type="dxa"/>
            <w:vAlign w:val="center"/>
          </w:tcPr>
          <w:p>
            <w:pPr>
              <w:widowControl w:val="0"/>
              <w:adjustRightInd w:val="0"/>
              <w:snapToGrid w:val="0"/>
              <w:spacing w:before="72" w:beforeLines="30" w:after="72" w:afterLines="30" w:line="288" w:lineRule="auto"/>
              <w:jc w:val="center"/>
            </w:pPr>
            <w:r>
              <w:rPr>
                <w:rFonts w:hint="eastAsia"/>
              </w:rPr>
              <w:t>0</w:t>
            </w:r>
          </w:p>
        </w:tc>
        <w:tc>
          <w:tcPr>
            <w:tcW w:w="4199" w:type="dxa"/>
            <w:vAlign w:val="center"/>
          </w:tcPr>
          <w:p>
            <w:pPr>
              <w:widowControl w:val="0"/>
              <w:adjustRightInd w:val="0"/>
              <w:snapToGrid w:val="0"/>
              <w:spacing w:before="72" w:beforeLines="30" w:after="72" w:afterLines="30" w:line="288" w:lineRule="auto"/>
              <w:jc w:val="both"/>
            </w:pPr>
            <w:r>
              <w:rPr>
                <w:rFonts w:hint="eastAsia"/>
              </w:rPr>
              <w:t>O</w:t>
            </w:r>
            <w:r>
              <w:t>ther bit field indexes</w:t>
            </w:r>
            <w:r>
              <w:rPr>
                <w:rFonts w:hint="eastAsia"/>
              </w:rPr>
              <w:t xml:space="preserve"> (e.g., except 0)</w:t>
            </w:r>
            <w:r>
              <w:t xml:space="preserve"> are mapped to the candidate cells</w:t>
            </w:r>
            <w:r>
              <w:rPr>
                <w:rFonts w:hint="eastAsia"/>
              </w:rPr>
              <w:t>.</w:t>
            </w:r>
          </w:p>
          <w:p>
            <w:pPr>
              <w:widowControl w:val="0"/>
              <w:adjustRightInd w:val="0"/>
              <w:snapToGrid w:val="0"/>
              <w:spacing w:before="72" w:beforeLines="30" w:after="72" w:afterLines="30" w:line="288" w:lineRule="auto"/>
              <w:jc w:val="both"/>
            </w:pP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PCI of the serving cell</w:t>
            </w:r>
            <w:r>
              <w:rPr>
                <w:rFonts w:hint="eastAsia" w:eastAsia="宋体"/>
              </w:rPr>
              <w:t xml:space="preserve"> if the cell indicated by Cell indicator field is the serving cell. /</w:t>
            </w:r>
            <w:r>
              <w:rPr>
                <w:rFonts w:eastAsia="宋体"/>
              </w:rPr>
              <w:t xml:space="preserve">The bit field index 0 of </w:t>
            </w:r>
            <w:r>
              <w:rPr>
                <w:rFonts w:eastAsia="等线"/>
              </w:rPr>
              <w:t>PRACH association indicator</w:t>
            </w:r>
            <w:r>
              <w:rPr>
                <w:rFonts w:hint="eastAsia" w:eastAsia="等线"/>
              </w:rPr>
              <w:t xml:space="preserve"> </w:t>
            </w:r>
            <w:r>
              <w:rPr>
                <w:rFonts w:eastAsia="宋体"/>
              </w:rPr>
              <w:t>field is mapped to the DL RS that the DM-RS of the PDCCH order is quasi-collocated with</w:t>
            </w:r>
            <w:r>
              <w:rPr>
                <w:rFonts w:hint="eastAsia" w:eastAsia="宋体"/>
              </w:rPr>
              <w:t xml:space="preserve"> if the cell indicated by Cell indicator field is the serving cell.</w:t>
            </w:r>
          </w:p>
        </w:tc>
        <w:tc>
          <w:tcPr>
            <w:tcW w:w="2423" w:type="dxa"/>
            <w:vAlign w:val="center"/>
          </w:tcPr>
          <w:p>
            <w:pPr>
              <w:widowControl w:val="0"/>
              <w:adjustRightInd w:val="0"/>
              <w:snapToGrid w:val="0"/>
              <w:spacing w:before="72" w:beforeLines="30" w:after="72" w:afterLines="30" w:line="288" w:lineRule="auto"/>
              <w:jc w:val="both"/>
              <w:rPr>
                <w:rFonts w:eastAsia="宋体"/>
              </w:rPr>
            </w:pPr>
            <w:r>
              <w:rPr>
                <w:rFonts w:hint="eastAsia" w:eastAsia="宋体"/>
              </w:rPr>
              <w:t>PRACH transmission is mapped to the candidate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widowControl w:val="0"/>
              <w:adjustRightInd w:val="0"/>
              <w:snapToGrid w:val="0"/>
              <w:spacing w:before="72" w:beforeLines="30" w:after="72" w:afterLines="30" w:line="288" w:lineRule="auto"/>
              <w:jc w:val="center"/>
            </w:pPr>
            <w:r>
              <w:rPr>
                <w:rFonts w:hint="eastAsia"/>
              </w:rPr>
              <w:t>non-zero</w:t>
            </w:r>
          </w:p>
        </w:tc>
        <w:tc>
          <w:tcPr>
            <w:tcW w:w="1320" w:type="dxa"/>
            <w:vAlign w:val="center"/>
          </w:tcPr>
          <w:p>
            <w:pPr>
              <w:widowControl w:val="0"/>
              <w:adjustRightInd w:val="0"/>
              <w:snapToGrid w:val="0"/>
              <w:spacing w:before="72" w:beforeLines="30" w:after="72" w:afterLines="30" w:line="288" w:lineRule="auto"/>
              <w:jc w:val="center"/>
            </w:pPr>
            <w:r>
              <w:rPr>
                <w:rFonts w:hint="eastAsia"/>
              </w:rPr>
              <w:t>1</w:t>
            </w:r>
          </w:p>
        </w:tc>
        <w:tc>
          <w:tcPr>
            <w:tcW w:w="4199" w:type="dxa"/>
            <w:vAlign w:val="center"/>
          </w:tcPr>
          <w:p>
            <w:pPr>
              <w:widowControl w:val="0"/>
              <w:adjustRightInd w:val="0"/>
              <w:snapToGrid w:val="0"/>
              <w:spacing w:before="72" w:beforeLines="30" w:after="72" w:afterLines="30" w:line="288" w:lineRule="auto"/>
              <w:jc w:val="center"/>
            </w:pPr>
            <w:r>
              <w:rPr>
                <w:rFonts w:hint="eastAsia"/>
              </w:rPr>
              <w:t>X</w:t>
            </w:r>
          </w:p>
        </w:tc>
        <w:tc>
          <w:tcPr>
            <w:tcW w:w="2423" w:type="dxa"/>
            <w:vAlign w:val="center"/>
          </w:tcPr>
          <w:p>
            <w:pPr>
              <w:widowControl w:val="0"/>
              <w:adjustRightInd w:val="0"/>
              <w:snapToGrid w:val="0"/>
              <w:spacing w:before="72" w:beforeLines="30" w:after="72" w:afterLines="30" w:line="288" w:lineRule="auto"/>
              <w:jc w:val="center"/>
            </w:pPr>
            <w:r>
              <w:rPr>
                <w:rFonts w:hint="eastAsia"/>
              </w:rPr>
              <w:t>X</w:t>
            </w:r>
          </w:p>
        </w:tc>
      </w:tr>
    </w:tbl>
    <w:p>
      <w:pPr>
        <w:snapToGrid w:val="0"/>
        <w:spacing w:before="60" w:after="60" w:line="288" w:lineRule="auto"/>
        <w:jc w:val="both"/>
        <w:rPr>
          <w:iCs/>
          <w:szCs w:val="20"/>
        </w:rPr>
      </w:pPr>
      <w:r>
        <w:rPr>
          <w:rFonts w:hint="eastAsia" w:eastAsia="宋体"/>
          <w:iCs/>
          <w:szCs w:val="20"/>
        </w:rPr>
        <w:t xml:space="preserve">Hence, we have the following proposal and the </w:t>
      </w:r>
      <w:r>
        <w:rPr>
          <w:rFonts w:hint="eastAsia"/>
          <w:iCs/>
          <w:szCs w:val="20"/>
        </w:rPr>
        <w:t>corresponding TP can be found in our companion contribution [1].</w:t>
      </w:r>
    </w:p>
    <w:p>
      <w:pPr>
        <w:pStyle w:val="113"/>
        <w:widowControl w:val="0"/>
        <w:spacing w:before="72" w:beforeLines="30" w:after="72" w:afterLines="30" w:line="288" w:lineRule="auto"/>
        <w:ind w:firstLine="0" w:firstLineChars="0"/>
        <w:jc w:val="both"/>
        <w:rPr>
          <w:rFonts w:eastAsia="宋体"/>
          <w:i/>
          <w:iCs/>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bCs/>
          <w:i/>
          <w:szCs w:val="21"/>
        </w:rPr>
        <w:t>Support to clarify the mapping of PRACH transmission triggered by PDCCH order and the cell indicated by Cell indicator field and PRACH association indicator field when one of the Cell indicator field and PRACH association indicator field indicates a zero value.</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5"/>
        <w:snapToGrid w:val="0"/>
        <w:spacing w:before="72" w:beforeLines="30" w:after="72" w:afterLines="30" w:line="288" w:lineRule="auto"/>
        <w:jc w:val="both"/>
        <w:rPr>
          <w:rFonts w:eastAsia="t"/>
          <w:sz w:val="20"/>
          <w:lang w:val="en-GB"/>
        </w:rPr>
      </w:pPr>
      <w:bookmarkStart w:id="0" w:name="OLE_LINK25"/>
      <w:r>
        <w:rPr>
          <w:rFonts w:hint="eastAsia" w:eastAsia="t"/>
          <w:sz w:val="20"/>
          <w:lang w:val="en-GB"/>
        </w:rPr>
        <w:t>In this contribution, we</w:t>
      </w:r>
      <w:r>
        <w:rPr>
          <w:rFonts w:hint="eastAsia"/>
          <w:sz w:val="20"/>
        </w:rPr>
        <w:t xml:space="preserve"> </w:t>
      </w:r>
      <w:r>
        <w:rPr>
          <w:rFonts w:hint="eastAsia" w:eastAsia="t"/>
          <w:sz w:val="20"/>
          <w:lang w:val="en-GB"/>
        </w:rPr>
        <w:t>elaborate our views on PRACH association indicator field in PDCCH order</w:t>
      </w:r>
      <w:r>
        <w:rPr>
          <w:rFonts w:hint="eastAsia"/>
          <w:sz w:val="20"/>
        </w:rPr>
        <w:t xml:space="preserve"> and have the following proposal</w:t>
      </w:r>
      <w:r>
        <w:rPr>
          <w:rFonts w:hint="eastAsia" w:eastAsia="t"/>
          <w:sz w:val="20"/>
          <w:lang w:val="en-GB"/>
        </w:rPr>
        <w:t>.</w:t>
      </w:r>
      <w:bookmarkEnd w:id="0"/>
    </w:p>
    <w:p>
      <w:pPr>
        <w:pStyle w:val="113"/>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bCs/>
          <w:i/>
          <w:szCs w:val="21"/>
        </w:rPr>
        <w:t>Support to clarify the mapping of PRACH transmission triggered by PDCCH order and the cell indicated by Cell indicator field and PRACH association indicator field when one of the Cell indicator field and PRACH association indicator field indicates a zero value.</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5"/>
        <w:numPr>
          <w:ilvl w:val="0"/>
          <w:numId w:val="8"/>
        </w:numPr>
        <w:snapToGrid w:val="0"/>
        <w:spacing w:before="72" w:beforeLines="30" w:after="72" w:afterLines="30" w:line="288" w:lineRule="auto"/>
        <w:jc w:val="both"/>
        <w:rPr>
          <w:bCs/>
          <w:sz w:val="20"/>
          <w:szCs w:val="20"/>
        </w:rPr>
      </w:pPr>
      <w:r>
        <w:rPr>
          <w:rFonts w:hint="eastAsia"/>
          <w:bCs/>
          <w:sz w:val="20"/>
          <w:szCs w:val="20"/>
        </w:rPr>
        <w:t>R1-2404717, Draft CR on PRACH association indicator field in PDCCH order in TS 38.212, ZTE</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4A55685D"/>
    <w:multiLevelType w:val="singleLevel"/>
    <w:tmpl w:val="4A55685D"/>
    <w:lvl w:ilvl="0" w:tentative="0">
      <w:start w:val="1"/>
      <w:numFmt w:val="bullet"/>
      <w:pStyle w:val="124"/>
      <w:lvlText w:val=""/>
      <w:lvlJc w:val="left"/>
      <w:pPr>
        <w:tabs>
          <w:tab w:val="left" w:pos="992"/>
        </w:tabs>
        <w:ind w:left="992" w:hanging="425"/>
      </w:pPr>
      <w:rPr>
        <w:rFonts w:hint="default" w:ascii="Symbol" w:hAnsi="Symbol"/>
      </w:rPr>
    </w:lvl>
  </w:abstractNum>
  <w:abstractNum w:abstractNumId="5">
    <w:nsid w:val="5E93823A"/>
    <w:multiLevelType w:val="singleLevel"/>
    <w:tmpl w:val="5E93823A"/>
    <w:lvl w:ilvl="0" w:tentative="0">
      <w:start w:val="1"/>
      <w:numFmt w:val="decimal"/>
      <w:suff w:val="space"/>
      <w:lvlText w:val="[%1]"/>
      <w:lvlJc w:val="left"/>
    </w:lvl>
  </w:abstractNum>
  <w:abstractNum w:abstractNumId="6">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7"/>
  </w:num>
  <w:num w:numId="4">
    <w:abstractNumId w:val="2"/>
  </w:num>
  <w:num w:numId="5">
    <w:abstractNumId w:val="6"/>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75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AA7"/>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5D4"/>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63D0"/>
    <w:rsid w:val="00246617"/>
    <w:rsid w:val="00246869"/>
    <w:rsid w:val="00246886"/>
    <w:rsid w:val="00246944"/>
    <w:rsid w:val="00246A8E"/>
    <w:rsid w:val="00246AB3"/>
    <w:rsid w:val="00247277"/>
    <w:rsid w:val="0024752F"/>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3"/>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F87"/>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F75"/>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23"/>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520"/>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D7E1B"/>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B0"/>
    <w:rsid w:val="006D07D9"/>
    <w:rsid w:val="006D1115"/>
    <w:rsid w:val="006D1423"/>
    <w:rsid w:val="006D16EF"/>
    <w:rsid w:val="006D1716"/>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EF0"/>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8AC"/>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448"/>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3EE"/>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11"/>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1F"/>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1CE"/>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19C"/>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3C0"/>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57"/>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CFD"/>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D2F"/>
    <w:rsid w:val="00F41EED"/>
    <w:rsid w:val="00F4200F"/>
    <w:rsid w:val="00F42064"/>
    <w:rsid w:val="00F42B4E"/>
    <w:rsid w:val="00F430B9"/>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0CE"/>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120E66"/>
    <w:rsid w:val="0115454E"/>
    <w:rsid w:val="01242C11"/>
    <w:rsid w:val="0133236C"/>
    <w:rsid w:val="013B5510"/>
    <w:rsid w:val="013C195E"/>
    <w:rsid w:val="013C4497"/>
    <w:rsid w:val="013D13C6"/>
    <w:rsid w:val="0140787E"/>
    <w:rsid w:val="01422B07"/>
    <w:rsid w:val="01462EFE"/>
    <w:rsid w:val="015E0BE9"/>
    <w:rsid w:val="016847E7"/>
    <w:rsid w:val="018F1416"/>
    <w:rsid w:val="01AB094A"/>
    <w:rsid w:val="01AE21DC"/>
    <w:rsid w:val="01B306E4"/>
    <w:rsid w:val="01D27A5F"/>
    <w:rsid w:val="01DB4A64"/>
    <w:rsid w:val="01E81A27"/>
    <w:rsid w:val="01F37365"/>
    <w:rsid w:val="01F9714C"/>
    <w:rsid w:val="02004B2C"/>
    <w:rsid w:val="0201766A"/>
    <w:rsid w:val="020E5459"/>
    <w:rsid w:val="02151F95"/>
    <w:rsid w:val="02165CD7"/>
    <w:rsid w:val="021C2098"/>
    <w:rsid w:val="02274CF6"/>
    <w:rsid w:val="022A4AA1"/>
    <w:rsid w:val="022E47B0"/>
    <w:rsid w:val="02320E86"/>
    <w:rsid w:val="02434112"/>
    <w:rsid w:val="02554999"/>
    <w:rsid w:val="02565169"/>
    <w:rsid w:val="02574326"/>
    <w:rsid w:val="025B75F9"/>
    <w:rsid w:val="026D0BFF"/>
    <w:rsid w:val="02762CB4"/>
    <w:rsid w:val="02767EF6"/>
    <w:rsid w:val="027F75CB"/>
    <w:rsid w:val="02874D3F"/>
    <w:rsid w:val="028C4EAA"/>
    <w:rsid w:val="029B47FF"/>
    <w:rsid w:val="02A01AB0"/>
    <w:rsid w:val="02B2265C"/>
    <w:rsid w:val="02B34E07"/>
    <w:rsid w:val="02DC5D29"/>
    <w:rsid w:val="02E67121"/>
    <w:rsid w:val="02E818F1"/>
    <w:rsid w:val="02EE6889"/>
    <w:rsid w:val="02FF5491"/>
    <w:rsid w:val="030F5EB8"/>
    <w:rsid w:val="031B3D3A"/>
    <w:rsid w:val="031B4B18"/>
    <w:rsid w:val="032063E6"/>
    <w:rsid w:val="0329798B"/>
    <w:rsid w:val="03300F14"/>
    <w:rsid w:val="03382F46"/>
    <w:rsid w:val="033A53C5"/>
    <w:rsid w:val="033D46E5"/>
    <w:rsid w:val="03460D15"/>
    <w:rsid w:val="0362687D"/>
    <w:rsid w:val="03653EA6"/>
    <w:rsid w:val="037C375A"/>
    <w:rsid w:val="037C3EB8"/>
    <w:rsid w:val="037C5BED"/>
    <w:rsid w:val="038317D7"/>
    <w:rsid w:val="03871F70"/>
    <w:rsid w:val="03915486"/>
    <w:rsid w:val="03A528F7"/>
    <w:rsid w:val="03AE2B70"/>
    <w:rsid w:val="03B030F7"/>
    <w:rsid w:val="03C06834"/>
    <w:rsid w:val="03C200B6"/>
    <w:rsid w:val="03C61C73"/>
    <w:rsid w:val="03D81924"/>
    <w:rsid w:val="03E9024B"/>
    <w:rsid w:val="03E925DE"/>
    <w:rsid w:val="03EF321E"/>
    <w:rsid w:val="03F638B5"/>
    <w:rsid w:val="042B188D"/>
    <w:rsid w:val="04314521"/>
    <w:rsid w:val="04322C7E"/>
    <w:rsid w:val="043A302C"/>
    <w:rsid w:val="043B4D0A"/>
    <w:rsid w:val="043F479D"/>
    <w:rsid w:val="04515159"/>
    <w:rsid w:val="045257BD"/>
    <w:rsid w:val="045453B9"/>
    <w:rsid w:val="04694EAC"/>
    <w:rsid w:val="046A03D5"/>
    <w:rsid w:val="046C35A2"/>
    <w:rsid w:val="04757AF8"/>
    <w:rsid w:val="04852804"/>
    <w:rsid w:val="048E35DC"/>
    <w:rsid w:val="0492209E"/>
    <w:rsid w:val="049406C4"/>
    <w:rsid w:val="04B345F7"/>
    <w:rsid w:val="04BE7DD0"/>
    <w:rsid w:val="04C174A0"/>
    <w:rsid w:val="04C80C0B"/>
    <w:rsid w:val="04CD0148"/>
    <w:rsid w:val="04EB3650"/>
    <w:rsid w:val="04F915E5"/>
    <w:rsid w:val="04FE5111"/>
    <w:rsid w:val="05081EC1"/>
    <w:rsid w:val="050D0125"/>
    <w:rsid w:val="051B02F6"/>
    <w:rsid w:val="052B2B3D"/>
    <w:rsid w:val="054445DB"/>
    <w:rsid w:val="055A06C9"/>
    <w:rsid w:val="05644CA9"/>
    <w:rsid w:val="056B33A0"/>
    <w:rsid w:val="05702DF2"/>
    <w:rsid w:val="05733EFD"/>
    <w:rsid w:val="058A745F"/>
    <w:rsid w:val="058D2653"/>
    <w:rsid w:val="05930449"/>
    <w:rsid w:val="05A11E98"/>
    <w:rsid w:val="05AB6C7C"/>
    <w:rsid w:val="05B56F8C"/>
    <w:rsid w:val="05C06E8C"/>
    <w:rsid w:val="05C154CA"/>
    <w:rsid w:val="05C70721"/>
    <w:rsid w:val="05CF1D27"/>
    <w:rsid w:val="05E43649"/>
    <w:rsid w:val="05EA3121"/>
    <w:rsid w:val="05EB37CA"/>
    <w:rsid w:val="05EF39F0"/>
    <w:rsid w:val="06073C3A"/>
    <w:rsid w:val="06093003"/>
    <w:rsid w:val="060D79A1"/>
    <w:rsid w:val="060E00E0"/>
    <w:rsid w:val="06143284"/>
    <w:rsid w:val="06197729"/>
    <w:rsid w:val="0622111A"/>
    <w:rsid w:val="06257099"/>
    <w:rsid w:val="0632692A"/>
    <w:rsid w:val="064244D9"/>
    <w:rsid w:val="06511ACC"/>
    <w:rsid w:val="06564BA4"/>
    <w:rsid w:val="067751BD"/>
    <w:rsid w:val="06A11B02"/>
    <w:rsid w:val="06B34C51"/>
    <w:rsid w:val="06BA6ABF"/>
    <w:rsid w:val="06C62058"/>
    <w:rsid w:val="06CF7159"/>
    <w:rsid w:val="06D32D7E"/>
    <w:rsid w:val="06DD3D71"/>
    <w:rsid w:val="06E21138"/>
    <w:rsid w:val="06E64C63"/>
    <w:rsid w:val="06F24EF2"/>
    <w:rsid w:val="07470651"/>
    <w:rsid w:val="074F79E7"/>
    <w:rsid w:val="075815C4"/>
    <w:rsid w:val="07934010"/>
    <w:rsid w:val="07973398"/>
    <w:rsid w:val="079D12CF"/>
    <w:rsid w:val="07A46BE4"/>
    <w:rsid w:val="07AE7932"/>
    <w:rsid w:val="07B814E5"/>
    <w:rsid w:val="07D013A8"/>
    <w:rsid w:val="07D648D8"/>
    <w:rsid w:val="07DF5024"/>
    <w:rsid w:val="07E22A7A"/>
    <w:rsid w:val="07FD44E9"/>
    <w:rsid w:val="0805407D"/>
    <w:rsid w:val="080F78BF"/>
    <w:rsid w:val="08127126"/>
    <w:rsid w:val="08132E8B"/>
    <w:rsid w:val="081D706E"/>
    <w:rsid w:val="08453F53"/>
    <w:rsid w:val="085066C7"/>
    <w:rsid w:val="0852564D"/>
    <w:rsid w:val="085D519A"/>
    <w:rsid w:val="086378F2"/>
    <w:rsid w:val="086D1BC3"/>
    <w:rsid w:val="08706B4B"/>
    <w:rsid w:val="087E5043"/>
    <w:rsid w:val="0882323D"/>
    <w:rsid w:val="08862464"/>
    <w:rsid w:val="088B79C8"/>
    <w:rsid w:val="08CE61CB"/>
    <w:rsid w:val="08D2064E"/>
    <w:rsid w:val="08E346E3"/>
    <w:rsid w:val="08F44BC5"/>
    <w:rsid w:val="08FA203B"/>
    <w:rsid w:val="090A5EB9"/>
    <w:rsid w:val="0923103D"/>
    <w:rsid w:val="093A1D12"/>
    <w:rsid w:val="093A51B7"/>
    <w:rsid w:val="09430F9C"/>
    <w:rsid w:val="094B14E7"/>
    <w:rsid w:val="095017F1"/>
    <w:rsid w:val="0950242B"/>
    <w:rsid w:val="095256C8"/>
    <w:rsid w:val="09664D4F"/>
    <w:rsid w:val="096807A5"/>
    <w:rsid w:val="0970282E"/>
    <w:rsid w:val="097317EC"/>
    <w:rsid w:val="09755A16"/>
    <w:rsid w:val="09964D40"/>
    <w:rsid w:val="09A6541D"/>
    <w:rsid w:val="09AB29D4"/>
    <w:rsid w:val="09E87090"/>
    <w:rsid w:val="09F842D5"/>
    <w:rsid w:val="09F97D63"/>
    <w:rsid w:val="09FD0440"/>
    <w:rsid w:val="0A0518AB"/>
    <w:rsid w:val="0A085C07"/>
    <w:rsid w:val="0A0D50DF"/>
    <w:rsid w:val="0A32370E"/>
    <w:rsid w:val="0A3247B9"/>
    <w:rsid w:val="0A585A2D"/>
    <w:rsid w:val="0A594E3E"/>
    <w:rsid w:val="0A5C768D"/>
    <w:rsid w:val="0A69260C"/>
    <w:rsid w:val="0A6F50FD"/>
    <w:rsid w:val="0A934843"/>
    <w:rsid w:val="0A980D85"/>
    <w:rsid w:val="0A9E4A8D"/>
    <w:rsid w:val="0A9F2012"/>
    <w:rsid w:val="0AAA6D9C"/>
    <w:rsid w:val="0AAF64F9"/>
    <w:rsid w:val="0AB15DD5"/>
    <w:rsid w:val="0AB53627"/>
    <w:rsid w:val="0AB6376C"/>
    <w:rsid w:val="0ACE1EAB"/>
    <w:rsid w:val="0AE1593F"/>
    <w:rsid w:val="0AE57C7B"/>
    <w:rsid w:val="0AE65CB9"/>
    <w:rsid w:val="0AE71F9A"/>
    <w:rsid w:val="0AE7556B"/>
    <w:rsid w:val="0AE96B11"/>
    <w:rsid w:val="0AED2D1C"/>
    <w:rsid w:val="0AFD09EB"/>
    <w:rsid w:val="0AFF05E6"/>
    <w:rsid w:val="0B07538C"/>
    <w:rsid w:val="0B0F03B9"/>
    <w:rsid w:val="0B1338B8"/>
    <w:rsid w:val="0B1A274D"/>
    <w:rsid w:val="0B1D1C6A"/>
    <w:rsid w:val="0B227BC7"/>
    <w:rsid w:val="0B254ED4"/>
    <w:rsid w:val="0B2B6D2A"/>
    <w:rsid w:val="0B2D5BF1"/>
    <w:rsid w:val="0B2E5D46"/>
    <w:rsid w:val="0B3A4E5B"/>
    <w:rsid w:val="0B426855"/>
    <w:rsid w:val="0B536C32"/>
    <w:rsid w:val="0B5823AA"/>
    <w:rsid w:val="0B595FAD"/>
    <w:rsid w:val="0B6E0FF5"/>
    <w:rsid w:val="0B7646AE"/>
    <w:rsid w:val="0B827907"/>
    <w:rsid w:val="0B8C4C1A"/>
    <w:rsid w:val="0B9549DB"/>
    <w:rsid w:val="0B9D13EC"/>
    <w:rsid w:val="0BA07E46"/>
    <w:rsid w:val="0BAB6C9C"/>
    <w:rsid w:val="0BAE32C3"/>
    <w:rsid w:val="0BB56784"/>
    <w:rsid w:val="0BC032D6"/>
    <w:rsid w:val="0BC10793"/>
    <w:rsid w:val="0BDB1E35"/>
    <w:rsid w:val="0BDB6546"/>
    <w:rsid w:val="0BDE475B"/>
    <w:rsid w:val="0BE0571E"/>
    <w:rsid w:val="0BE32529"/>
    <w:rsid w:val="0BE34FBA"/>
    <w:rsid w:val="0C005070"/>
    <w:rsid w:val="0C0A437F"/>
    <w:rsid w:val="0C195365"/>
    <w:rsid w:val="0C1A6BD3"/>
    <w:rsid w:val="0C1D70C9"/>
    <w:rsid w:val="0C3314C7"/>
    <w:rsid w:val="0C6170AA"/>
    <w:rsid w:val="0C6F4E58"/>
    <w:rsid w:val="0C76751C"/>
    <w:rsid w:val="0CBC2227"/>
    <w:rsid w:val="0CDA09F1"/>
    <w:rsid w:val="0CE30760"/>
    <w:rsid w:val="0CEA5470"/>
    <w:rsid w:val="0CFB1DB9"/>
    <w:rsid w:val="0D103D70"/>
    <w:rsid w:val="0D220294"/>
    <w:rsid w:val="0D233EDD"/>
    <w:rsid w:val="0D283356"/>
    <w:rsid w:val="0D3A4A42"/>
    <w:rsid w:val="0D5773D6"/>
    <w:rsid w:val="0D594DB6"/>
    <w:rsid w:val="0D632B1E"/>
    <w:rsid w:val="0D6E771D"/>
    <w:rsid w:val="0D733852"/>
    <w:rsid w:val="0D7D7848"/>
    <w:rsid w:val="0D80206A"/>
    <w:rsid w:val="0D8E173E"/>
    <w:rsid w:val="0D9925C9"/>
    <w:rsid w:val="0DA10A04"/>
    <w:rsid w:val="0DD74FA9"/>
    <w:rsid w:val="0DF13B47"/>
    <w:rsid w:val="0E0A5187"/>
    <w:rsid w:val="0E316BA2"/>
    <w:rsid w:val="0E332166"/>
    <w:rsid w:val="0E3917FF"/>
    <w:rsid w:val="0E3F492F"/>
    <w:rsid w:val="0E613656"/>
    <w:rsid w:val="0E72787E"/>
    <w:rsid w:val="0E7F1356"/>
    <w:rsid w:val="0E86024B"/>
    <w:rsid w:val="0E983A75"/>
    <w:rsid w:val="0E9F5739"/>
    <w:rsid w:val="0EAB569D"/>
    <w:rsid w:val="0EB96849"/>
    <w:rsid w:val="0EBA6C3E"/>
    <w:rsid w:val="0EC3008E"/>
    <w:rsid w:val="0EDB339F"/>
    <w:rsid w:val="0EDF3395"/>
    <w:rsid w:val="0EF2082E"/>
    <w:rsid w:val="0EF5454E"/>
    <w:rsid w:val="0F0F7C45"/>
    <w:rsid w:val="0F125211"/>
    <w:rsid w:val="0F152A9D"/>
    <w:rsid w:val="0F1E6D2F"/>
    <w:rsid w:val="0F1E7B0D"/>
    <w:rsid w:val="0F2A7AC4"/>
    <w:rsid w:val="0F605D69"/>
    <w:rsid w:val="0F62047F"/>
    <w:rsid w:val="0F672523"/>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0FEF2DCF"/>
    <w:rsid w:val="10040C3F"/>
    <w:rsid w:val="100B59FA"/>
    <w:rsid w:val="10110CDB"/>
    <w:rsid w:val="10206D1E"/>
    <w:rsid w:val="10357330"/>
    <w:rsid w:val="103B7609"/>
    <w:rsid w:val="10592ADF"/>
    <w:rsid w:val="105F040B"/>
    <w:rsid w:val="10600555"/>
    <w:rsid w:val="10682E8F"/>
    <w:rsid w:val="10701270"/>
    <w:rsid w:val="107A5169"/>
    <w:rsid w:val="107B4EBF"/>
    <w:rsid w:val="107C4D2C"/>
    <w:rsid w:val="10881C30"/>
    <w:rsid w:val="108A6F8A"/>
    <w:rsid w:val="10907B90"/>
    <w:rsid w:val="10982CE6"/>
    <w:rsid w:val="109C0F24"/>
    <w:rsid w:val="10A27296"/>
    <w:rsid w:val="10A32DF1"/>
    <w:rsid w:val="10A45B57"/>
    <w:rsid w:val="10A50D79"/>
    <w:rsid w:val="10A6159F"/>
    <w:rsid w:val="10AB24DF"/>
    <w:rsid w:val="10C04807"/>
    <w:rsid w:val="10D4182A"/>
    <w:rsid w:val="10D42E50"/>
    <w:rsid w:val="10D651F1"/>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BC35EF"/>
    <w:rsid w:val="11C557B7"/>
    <w:rsid w:val="11DD789B"/>
    <w:rsid w:val="120B6EA9"/>
    <w:rsid w:val="1228310E"/>
    <w:rsid w:val="12313D6F"/>
    <w:rsid w:val="12325B1D"/>
    <w:rsid w:val="123D7598"/>
    <w:rsid w:val="12444F04"/>
    <w:rsid w:val="1244691E"/>
    <w:rsid w:val="1251591B"/>
    <w:rsid w:val="12610602"/>
    <w:rsid w:val="126B461E"/>
    <w:rsid w:val="127D72F2"/>
    <w:rsid w:val="12874FEB"/>
    <w:rsid w:val="12A727B4"/>
    <w:rsid w:val="12A908D3"/>
    <w:rsid w:val="12AA7F02"/>
    <w:rsid w:val="12B31A9B"/>
    <w:rsid w:val="12B47253"/>
    <w:rsid w:val="12C14396"/>
    <w:rsid w:val="12CA5052"/>
    <w:rsid w:val="12DC36AA"/>
    <w:rsid w:val="12DE33CA"/>
    <w:rsid w:val="12EA7758"/>
    <w:rsid w:val="12ED73AB"/>
    <w:rsid w:val="12FA679C"/>
    <w:rsid w:val="12FC274E"/>
    <w:rsid w:val="12FF52DE"/>
    <w:rsid w:val="13030235"/>
    <w:rsid w:val="13063F94"/>
    <w:rsid w:val="13101816"/>
    <w:rsid w:val="13344C16"/>
    <w:rsid w:val="1343505A"/>
    <w:rsid w:val="13446954"/>
    <w:rsid w:val="13544A6B"/>
    <w:rsid w:val="13596CEC"/>
    <w:rsid w:val="135C3AB9"/>
    <w:rsid w:val="136B08B3"/>
    <w:rsid w:val="137A40BD"/>
    <w:rsid w:val="138F4ADA"/>
    <w:rsid w:val="13910B1E"/>
    <w:rsid w:val="13B158DD"/>
    <w:rsid w:val="13B563DA"/>
    <w:rsid w:val="13BB569E"/>
    <w:rsid w:val="13BD31AB"/>
    <w:rsid w:val="13C53BCF"/>
    <w:rsid w:val="13C55B19"/>
    <w:rsid w:val="13C7122C"/>
    <w:rsid w:val="13CD27B6"/>
    <w:rsid w:val="13E532CA"/>
    <w:rsid w:val="13EA24B1"/>
    <w:rsid w:val="13ED0B0B"/>
    <w:rsid w:val="13ED7D7F"/>
    <w:rsid w:val="13F96221"/>
    <w:rsid w:val="14007100"/>
    <w:rsid w:val="14055497"/>
    <w:rsid w:val="14145A78"/>
    <w:rsid w:val="14176353"/>
    <w:rsid w:val="141F7FB3"/>
    <w:rsid w:val="14226FC4"/>
    <w:rsid w:val="14242FDA"/>
    <w:rsid w:val="1424567A"/>
    <w:rsid w:val="14436E72"/>
    <w:rsid w:val="144F55C3"/>
    <w:rsid w:val="1450322B"/>
    <w:rsid w:val="145207A2"/>
    <w:rsid w:val="14524507"/>
    <w:rsid w:val="14547E86"/>
    <w:rsid w:val="14637D36"/>
    <w:rsid w:val="146D7907"/>
    <w:rsid w:val="147C2A02"/>
    <w:rsid w:val="147E33CA"/>
    <w:rsid w:val="14804E60"/>
    <w:rsid w:val="14827F07"/>
    <w:rsid w:val="1487373C"/>
    <w:rsid w:val="14960C1B"/>
    <w:rsid w:val="14A6749E"/>
    <w:rsid w:val="14B0700C"/>
    <w:rsid w:val="14C02505"/>
    <w:rsid w:val="14C34089"/>
    <w:rsid w:val="14CB5204"/>
    <w:rsid w:val="14CD05EB"/>
    <w:rsid w:val="14D35BD9"/>
    <w:rsid w:val="14DB33FC"/>
    <w:rsid w:val="14DE0AFC"/>
    <w:rsid w:val="14E7787F"/>
    <w:rsid w:val="14F44F2E"/>
    <w:rsid w:val="1515475D"/>
    <w:rsid w:val="15386363"/>
    <w:rsid w:val="153F5F47"/>
    <w:rsid w:val="15416178"/>
    <w:rsid w:val="1561603B"/>
    <w:rsid w:val="15690DB0"/>
    <w:rsid w:val="157E6456"/>
    <w:rsid w:val="15846412"/>
    <w:rsid w:val="158F48E5"/>
    <w:rsid w:val="15C94A90"/>
    <w:rsid w:val="15D74588"/>
    <w:rsid w:val="15EB4378"/>
    <w:rsid w:val="15FB4E72"/>
    <w:rsid w:val="160B185E"/>
    <w:rsid w:val="160F7157"/>
    <w:rsid w:val="16240B7E"/>
    <w:rsid w:val="1628036C"/>
    <w:rsid w:val="163871EC"/>
    <w:rsid w:val="16407A91"/>
    <w:rsid w:val="164162EA"/>
    <w:rsid w:val="16435A3F"/>
    <w:rsid w:val="16662C80"/>
    <w:rsid w:val="16702D89"/>
    <w:rsid w:val="16704155"/>
    <w:rsid w:val="16796F0F"/>
    <w:rsid w:val="167F480A"/>
    <w:rsid w:val="1688556A"/>
    <w:rsid w:val="168D27C2"/>
    <w:rsid w:val="16A00FDF"/>
    <w:rsid w:val="16A32AAC"/>
    <w:rsid w:val="16A470C1"/>
    <w:rsid w:val="16AF0615"/>
    <w:rsid w:val="16BD0B49"/>
    <w:rsid w:val="16C9587E"/>
    <w:rsid w:val="16D50CFC"/>
    <w:rsid w:val="16E33AB3"/>
    <w:rsid w:val="16EB76EF"/>
    <w:rsid w:val="17141C1D"/>
    <w:rsid w:val="171B0546"/>
    <w:rsid w:val="17304A49"/>
    <w:rsid w:val="173353C2"/>
    <w:rsid w:val="173A18AA"/>
    <w:rsid w:val="174224E7"/>
    <w:rsid w:val="17493381"/>
    <w:rsid w:val="174E3271"/>
    <w:rsid w:val="175E627F"/>
    <w:rsid w:val="178102C8"/>
    <w:rsid w:val="17874ED3"/>
    <w:rsid w:val="17886A2C"/>
    <w:rsid w:val="178F26E7"/>
    <w:rsid w:val="17966843"/>
    <w:rsid w:val="17A9660F"/>
    <w:rsid w:val="17C86BF9"/>
    <w:rsid w:val="17D04B6E"/>
    <w:rsid w:val="17D80F4C"/>
    <w:rsid w:val="17E14521"/>
    <w:rsid w:val="17F07EA2"/>
    <w:rsid w:val="17F779C2"/>
    <w:rsid w:val="18002CEE"/>
    <w:rsid w:val="180414A0"/>
    <w:rsid w:val="18077070"/>
    <w:rsid w:val="18117661"/>
    <w:rsid w:val="182E1F92"/>
    <w:rsid w:val="18414CA2"/>
    <w:rsid w:val="18441143"/>
    <w:rsid w:val="18523ADE"/>
    <w:rsid w:val="18660CD4"/>
    <w:rsid w:val="1866694B"/>
    <w:rsid w:val="186C1ACE"/>
    <w:rsid w:val="186C7B87"/>
    <w:rsid w:val="186D267B"/>
    <w:rsid w:val="18890477"/>
    <w:rsid w:val="188C5B30"/>
    <w:rsid w:val="188C6C7D"/>
    <w:rsid w:val="18960812"/>
    <w:rsid w:val="189C7EF6"/>
    <w:rsid w:val="18B04B4D"/>
    <w:rsid w:val="18C5316D"/>
    <w:rsid w:val="18E61DF6"/>
    <w:rsid w:val="18E87E12"/>
    <w:rsid w:val="18F5052C"/>
    <w:rsid w:val="191D14D9"/>
    <w:rsid w:val="196244DB"/>
    <w:rsid w:val="19693EEF"/>
    <w:rsid w:val="196B5F41"/>
    <w:rsid w:val="199860B4"/>
    <w:rsid w:val="199E1567"/>
    <w:rsid w:val="19A33A02"/>
    <w:rsid w:val="19D1732F"/>
    <w:rsid w:val="19DD2371"/>
    <w:rsid w:val="19F92180"/>
    <w:rsid w:val="1A001213"/>
    <w:rsid w:val="1A0B53D9"/>
    <w:rsid w:val="1A0D4248"/>
    <w:rsid w:val="1A0E6275"/>
    <w:rsid w:val="1A1335CF"/>
    <w:rsid w:val="1A200A74"/>
    <w:rsid w:val="1A2619C2"/>
    <w:rsid w:val="1A2F2398"/>
    <w:rsid w:val="1A3055B8"/>
    <w:rsid w:val="1A344C2A"/>
    <w:rsid w:val="1A3E0E11"/>
    <w:rsid w:val="1A5655AF"/>
    <w:rsid w:val="1A5C4727"/>
    <w:rsid w:val="1A6B5CD7"/>
    <w:rsid w:val="1A9B675D"/>
    <w:rsid w:val="1ABD36BF"/>
    <w:rsid w:val="1AD153DF"/>
    <w:rsid w:val="1AD36372"/>
    <w:rsid w:val="1ADE3E70"/>
    <w:rsid w:val="1AE032B7"/>
    <w:rsid w:val="1AE42348"/>
    <w:rsid w:val="1AE5004C"/>
    <w:rsid w:val="1AF2383D"/>
    <w:rsid w:val="1AF762F6"/>
    <w:rsid w:val="1B01048D"/>
    <w:rsid w:val="1B012875"/>
    <w:rsid w:val="1B157C1A"/>
    <w:rsid w:val="1B1A6E4B"/>
    <w:rsid w:val="1B211C8A"/>
    <w:rsid w:val="1B325062"/>
    <w:rsid w:val="1B572C7F"/>
    <w:rsid w:val="1B5734B2"/>
    <w:rsid w:val="1B6B1162"/>
    <w:rsid w:val="1B741EAE"/>
    <w:rsid w:val="1B99173F"/>
    <w:rsid w:val="1B9E5782"/>
    <w:rsid w:val="1B9F2F5B"/>
    <w:rsid w:val="1BA31D38"/>
    <w:rsid w:val="1BB15A38"/>
    <w:rsid w:val="1BB32D92"/>
    <w:rsid w:val="1BB63E1D"/>
    <w:rsid w:val="1BCA4E13"/>
    <w:rsid w:val="1BD93E58"/>
    <w:rsid w:val="1BDB5923"/>
    <w:rsid w:val="1BE56C8C"/>
    <w:rsid w:val="1BE75134"/>
    <w:rsid w:val="1BEB39AC"/>
    <w:rsid w:val="1C3C5A93"/>
    <w:rsid w:val="1C3D2E04"/>
    <w:rsid w:val="1C3D5C01"/>
    <w:rsid w:val="1C4852DE"/>
    <w:rsid w:val="1C4D45E0"/>
    <w:rsid w:val="1C971D45"/>
    <w:rsid w:val="1CA9456E"/>
    <w:rsid w:val="1CB701AA"/>
    <w:rsid w:val="1CBF0A48"/>
    <w:rsid w:val="1CC5776E"/>
    <w:rsid w:val="1CCA0F66"/>
    <w:rsid w:val="1CD01190"/>
    <w:rsid w:val="1CDD4255"/>
    <w:rsid w:val="1CDE446D"/>
    <w:rsid w:val="1CE20210"/>
    <w:rsid w:val="1CE55FB2"/>
    <w:rsid w:val="1CFA0A2E"/>
    <w:rsid w:val="1D0737DF"/>
    <w:rsid w:val="1D0F49F3"/>
    <w:rsid w:val="1D234999"/>
    <w:rsid w:val="1D26771C"/>
    <w:rsid w:val="1D464FEE"/>
    <w:rsid w:val="1D5D7C71"/>
    <w:rsid w:val="1D5E15AD"/>
    <w:rsid w:val="1D644902"/>
    <w:rsid w:val="1D6B1D16"/>
    <w:rsid w:val="1D7551EF"/>
    <w:rsid w:val="1D8C2BA2"/>
    <w:rsid w:val="1D8F6B81"/>
    <w:rsid w:val="1D905228"/>
    <w:rsid w:val="1D9776E5"/>
    <w:rsid w:val="1D9E7BBD"/>
    <w:rsid w:val="1DAB0536"/>
    <w:rsid w:val="1DAE480F"/>
    <w:rsid w:val="1DBC1C44"/>
    <w:rsid w:val="1DCC2895"/>
    <w:rsid w:val="1DF24DA6"/>
    <w:rsid w:val="1DF43659"/>
    <w:rsid w:val="1DFC21EE"/>
    <w:rsid w:val="1DFF69C5"/>
    <w:rsid w:val="1E004BB5"/>
    <w:rsid w:val="1E0E4DD7"/>
    <w:rsid w:val="1E0E72A0"/>
    <w:rsid w:val="1E202860"/>
    <w:rsid w:val="1E4473F8"/>
    <w:rsid w:val="1E463D59"/>
    <w:rsid w:val="1E490459"/>
    <w:rsid w:val="1E50751B"/>
    <w:rsid w:val="1E545B82"/>
    <w:rsid w:val="1E6D1C74"/>
    <w:rsid w:val="1E736E4E"/>
    <w:rsid w:val="1E7E5EB1"/>
    <w:rsid w:val="1E9B048D"/>
    <w:rsid w:val="1EA61B83"/>
    <w:rsid w:val="1EA82227"/>
    <w:rsid w:val="1EAD188D"/>
    <w:rsid w:val="1EBC7347"/>
    <w:rsid w:val="1EBF31D2"/>
    <w:rsid w:val="1EC114B5"/>
    <w:rsid w:val="1EDC2551"/>
    <w:rsid w:val="1EF23920"/>
    <w:rsid w:val="1EF80396"/>
    <w:rsid w:val="1F032AB6"/>
    <w:rsid w:val="1F075D27"/>
    <w:rsid w:val="1F0E7107"/>
    <w:rsid w:val="1F1C29EF"/>
    <w:rsid w:val="1F234826"/>
    <w:rsid w:val="1F31645A"/>
    <w:rsid w:val="1F331E38"/>
    <w:rsid w:val="1F3E4D51"/>
    <w:rsid w:val="1F4773C4"/>
    <w:rsid w:val="1F4B1056"/>
    <w:rsid w:val="1F4C5C8A"/>
    <w:rsid w:val="1F517BAC"/>
    <w:rsid w:val="1F5E0D38"/>
    <w:rsid w:val="1F5F4414"/>
    <w:rsid w:val="1F637F58"/>
    <w:rsid w:val="1F826970"/>
    <w:rsid w:val="1F8B1C0F"/>
    <w:rsid w:val="1F972A67"/>
    <w:rsid w:val="1FA317AB"/>
    <w:rsid w:val="1FA415FD"/>
    <w:rsid w:val="1FA60478"/>
    <w:rsid w:val="1FA83BDA"/>
    <w:rsid w:val="1FA9286D"/>
    <w:rsid w:val="1FB66D49"/>
    <w:rsid w:val="1FCB673D"/>
    <w:rsid w:val="1FEE648E"/>
    <w:rsid w:val="1FF433BA"/>
    <w:rsid w:val="1FF9202F"/>
    <w:rsid w:val="20003026"/>
    <w:rsid w:val="200F3B23"/>
    <w:rsid w:val="20127B79"/>
    <w:rsid w:val="201967D7"/>
    <w:rsid w:val="20374786"/>
    <w:rsid w:val="2039386F"/>
    <w:rsid w:val="20436342"/>
    <w:rsid w:val="20601C10"/>
    <w:rsid w:val="2068761A"/>
    <w:rsid w:val="206B5E9E"/>
    <w:rsid w:val="20757C7B"/>
    <w:rsid w:val="207E789F"/>
    <w:rsid w:val="20907BA5"/>
    <w:rsid w:val="20A13861"/>
    <w:rsid w:val="20BB0C31"/>
    <w:rsid w:val="20C66D8E"/>
    <w:rsid w:val="20CF37FC"/>
    <w:rsid w:val="20D717F3"/>
    <w:rsid w:val="20E02D05"/>
    <w:rsid w:val="20E32FBE"/>
    <w:rsid w:val="20F01565"/>
    <w:rsid w:val="20F12135"/>
    <w:rsid w:val="20F90AAC"/>
    <w:rsid w:val="20FA405B"/>
    <w:rsid w:val="2123751D"/>
    <w:rsid w:val="212729AC"/>
    <w:rsid w:val="212B616E"/>
    <w:rsid w:val="213121BA"/>
    <w:rsid w:val="214A2960"/>
    <w:rsid w:val="214E6349"/>
    <w:rsid w:val="215302B9"/>
    <w:rsid w:val="2155157C"/>
    <w:rsid w:val="215670DE"/>
    <w:rsid w:val="215A0945"/>
    <w:rsid w:val="2183462B"/>
    <w:rsid w:val="218E4A09"/>
    <w:rsid w:val="218E6399"/>
    <w:rsid w:val="219C6DDD"/>
    <w:rsid w:val="219F36D3"/>
    <w:rsid w:val="21B31BFA"/>
    <w:rsid w:val="21B97C7E"/>
    <w:rsid w:val="21DF3292"/>
    <w:rsid w:val="21DF71DE"/>
    <w:rsid w:val="22111157"/>
    <w:rsid w:val="22257114"/>
    <w:rsid w:val="2229623B"/>
    <w:rsid w:val="22332CD0"/>
    <w:rsid w:val="22477192"/>
    <w:rsid w:val="224C2951"/>
    <w:rsid w:val="224C75BD"/>
    <w:rsid w:val="22771E18"/>
    <w:rsid w:val="227A54E3"/>
    <w:rsid w:val="22865CFC"/>
    <w:rsid w:val="22BD3256"/>
    <w:rsid w:val="22BD4E7D"/>
    <w:rsid w:val="22C96B90"/>
    <w:rsid w:val="22D07449"/>
    <w:rsid w:val="22E05EAE"/>
    <w:rsid w:val="22E40F3D"/>
    <w:rsid w:val="22FF02BC"/>
    <w:rsid w:val="230B248C"/>
    <w:rsid w:val="231847B8"/>
    <w:rsid w:val="231E3ED2"/>
    <w:rsid w:val="23304ABE"/>
    <w:rsid w:val="234421C7"/>
    <w:rsid w:val="234D61BE"/>
    <w:rsid w:val="23537C14"/>
    <w:rsid w:val="2357065A"/>
    <w:rsid w:val="2359486E"/>
    <w:rsid w:val="2362645B"/>
    <w:rsid w:val="23700EEA"/>
    <w:rsid w:val="237B7CDD"/>
    <w:rsid w:val="238C42D2"/>
    <w:rsid w:val="23926459"/>
    <w:rsid w:val="2393048F"/>
    <w:rsid w:val="239E3C8F"/>
    <w:rsid w:val="23A06B4E"/>
    <w:rsid w:val="23A40CCF"/>
    <w:rsid w:val="23F61F1B"/>
    <w:rsid w:val="23FA1D01"/>
    <w:rsid w:val="2404601A"/>
    <w:rsid w:val="24214B16"/>
    <w:rsid w:val="242404CF"/>
    <w:rsid w:val="242713BB"/>
    <w:rsid w:val="24351B4F"/>
    <w:rsid w:val="243647BB"/>
    <w:rsid w:val="244F716C"/>
    <w:rsid w:val="24501237"/>
    <w:rsid w:val="24576A62"/>
    <w:rsid w:val="245E385D"/>
    <w:rsid w:val="246E76BE"/>
    <w:rsid w:val="24725231"/>
    <w:rsid w:val="24762507"/>
    <w:rsid w:val="248219BA"/>
    <w:rsid w:val="24863B93"/>
    <w:rsid w:val="248A0B9C"/>
    <w:rsid w:val="24975612"/>
    <w:rsid w:val="249E3719"/>
    <w:rsid w:val="24A2659E"/>
    <w:rsid w:val="24B3373A"/>
    <w:rsid w:val="24B346B5"/>
    <w:rsid w:val="24B606B7"/>
    <w:rsid w:val="24D92A69"/>
    <w:rsid w:val="24EC3BCA"/>
    <w:rsid w:val="24EC4ADF"/>
    <w:rsid w:val="24EF6448"/>
    <w:rsid w:val="24F71B8F"/>
    <w:rsid w:val="24F92CDE"/>
    <w:rsid w:val="2509234F"/>
    <w:rsid w:val="250C0B5D"/>
    <w:rsid w:val="25130959"/>
    <w:rsid w:val="25252C8E"/>
    <w:rsid w:val="25335BFF"/>
    <w:rsid w:val="25353A77"/>
    <w:rsid w:val="253D4E51"/>
    <w:rsid w:val="25462DA6"/>
    <w:rsid w:val="25482946"/>
    <w:rsid w:val="25893EFE"/>
    <w:rsid w:val="258A1AB3"/>
    <w:rsid w:val="25B35E6A"/>
    <w:rsid w:val="25BB0481"/>
    <w:rsid w:val="25BE6749"/>
    <w:rsid w:val="25CF10FC"/>
    <w:rsid w:val="25DE0185"/>
    <w:rsid w:val="25E04003"/>
    <w:rsid w:val="25EB6DBF"/>
    <w:rsid w:val="25EE4F04"/>
    <w:rsid w:val="25EE6875"/>
    <w:rsid w:val="26056FD7"/>
    <w:rsid w:val="260C334C"/>
    <w:rsid w:val="26164A17"/>
    <w:rsid w:val="26276BC7"/>
    <w:rsid w:val="262A76BD"/>
    <w:rsid w:val="263262EE"/>
    <w:rsid w:val="26412189"/>
    <w:rsid w:val="264938E7"/>
    <w:rsid w:val="26517452"/>
    <w:rsid w:val="26566E1C"/>
    <w:rsid w:val="266013CD"/>
    <w:rsid w:val="2679079E"/>
    <w:rsid w:val="26805F58"/>
    <w:rsid w:val="268120E0"/>
    <w:rsid w:val="268B4EFD"/>
    <w:rsid w:val="26966C1B"/>
    <w:rsid w:val="269C0839"/>
    <w:rsid w:val="26A10A64"/>
    <w:rsid w:val="26A24282"/>
    <w:rsid w:val="26BB6790"/>
    <w:rsid w:val="26BF3C79"/>
    <w:rsid w:val="26C4287D"/>
    <w:rsid w:val="26C84C3F"/>
    <w:rsid w:val="26CA39FA"/>
    <w:rsid w:val="26D85E33"/>
    <w:rsid w:val="26DB2072"/>
    <w:rsid w:val="270B4A30"/>
    <w:rsid w:val="270F1235"/>
    <w:rsid w:val="27154206"/>
    <w:rsid w:val="27171830"/>
    <w:rsid w:val="271D238B"/>
    <w:rsid w:val="272A62FD"/>
    <w:rsid w:val="273460AC"/>
    <w:rsid w:val="2737495D"/>
    <w:rsid w:val="27456A02"/>
    <w:rsid w:val="274E64D1"/>
    <w:rsid w:val="274E6AA9"/>
    <w:rsid w:val="276205CD"/>
    <w:rsid w:val="277C6B33"/>
    <w:rsid w:val="27862FAB"/>
    <w:rsid w:val="278F67DD"/>
    <w:rsid w:val="279137A0"/>
    <w:rsid w:val="27B31F91"/>
    <w:rsid w:val="27B33E3F"/>
    <w:rsid w:val="27B778B7"/>
    <w:rsid w:val="27BF0D59"/>
    <w:rsid w:val="27CE4805"/>
    <w:rsid w:val="27D831E9"/>
    <w:rsid w:val="27DC01C9"/>
    <w:rsid w:val="27DF64F1"/>
    <w:rsid w:val="27E53287"/>
    <w:rsid w:val="27E8590F"/>
    <w:rsid w:val="27EA6D62"/>
    <w:rsid w:val="280A737B"/>
    <w:rsid w:val="28151DED"/>
    <w:rsid w:val="28300784"/>
    <w:rsid w:val="28316877"/>
    <w:rsid w:val="283F2A39"/>
    <w:rsid w:val="28630E79"/>
    <w:rsid w:val="28660101"/>
    <w:rsid w:val="286E6DB7"/>
    <w:rsid w:val="289E6725"/>
    <w:rsid w:val="28BC39FA"/>
    <w:rsid w:val="28C01B18"/>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38BD"/>
    <w:rsid w:val="299E7A8C"/>
    <w:rsid w:val="29BF36D6"/>
    <w:rsid w:val="29C52E87"/>
    <w:rsid w:val="29D9317B"/>
    <w:rsid w:val="29EC161D"/>
    <w:rsid w:val="29F04EAF"/>
    <w:rsid w:val="29F116D0"/>
    <w:rsid w:val="29F2638F"/>
    <w:rsid w:val="2A0125EB"/>
    <w:rsid w:val="2A0241CA"/>
    <w:rsid w:val="2A0777DB"/>
    <w:rsid w:val="2A1074D9"/>
    <w:rsid w:val="2A136762"/>
    <w:rsid w:val="2A153074"/>
    <w:rsid w:val="2A16459C"/>
    <w:rsid w:val="2A1E7E82"/>
    <w:rsid w:val="2A7D5C08"/>
    <w:rsid w:val="2A826CAC"/>
    <w:rsid w:val="2A832C81"/>
    <w:rsid w:val="2A837A08"/>
    <w:rsid w:val="2A865621"/>
    <w:rsid w:val="2A90033E"/>
    <w:rsid w:val="2AA47786"/>
    <w:rsid w:val="2AA7735C"/>
    <w:rsid w:val="2AAA19F3"/>
    <w:rsid w:val="2AAD65EE"/>
    <w:rsid w:val="2AB23403"/>
    <w:rsid w:val="2AC37547"/>
    <w:rsid w:val="2AC77380"/>
    <w:rsid w:val="2ACE32F5"/>
    <w:rsid w:val="2ADD6AFD"/>
    <w:rsid w:val="2ADE6550"/>
    <w:rsid w:val="2AE0413B"/>
    <w:rsid w:val="2AEA0CBC"/>
    <w:rsid w:val="2AF134CE"/>
    <w:rsid w:val="2AFE0D9C"/>
    <w:rsid w:val="2B2E0309"/>
    <w:rsid w:val="2B422946"/>
    <w:rsid w:val="2B54055B"/>
    <w:rsid w:val="2B5B34DC"/>
    <w:rsid w:val="2B6D12EE"/>
    <w:rsid w:val="2B76579E"/>
    <w:rsid w:val="2B793021"/>
    <w:rsid w:val="2B7973CB"/>
    <w:rsid w:val="2B831E93"/>
    <w:rsid w:val="2B852EE0"/>
    <w:rsid w:val="2B885C3B"/>
    <w:rsid w:val="2B964DED"/>
    <w:rsid w:val="2B9B3546"/>
    <w:rsid w:val="2BA57D96"/>
    <w:rsid w:val="2BAE29A1"/>
    <w:rsid w:val="2BBA1460"/>
    <w:rsid w:val="2BBE438D"/>
    <w:rsid w:val="2BD315B0"/>
    <w:rsid w:val="2BE373EE"/>
    <w:rsid w:val="2BFC3156"/>
    <w:rsid w:val="2C0A73E9"/>
    <w:rsid w:val="2C295EB9"/>
    <w:rsid w:val="2C35729B"/>
    <w:rsid w:val="2C367CB2"/>
    <w:rsid w:val="2C4628DA"/>
    <w:rsid w:val="2C555D92"/>
    <w:rsid w:val="2C575DDE"/>
    <w:rsid w:val="2C622710"/>
    <w:rsid w:val="2C734CA0"/>
    <w:rsid w:val="2C7A1A31"/>
    <w:rsid w:val="2C7C7D79"/>
    <w:rsid w:val="2C83115A"/>
    <w:rsid w:val="2C8B517A"/>
    <w:rsid w:val="2C9466E2"/>
    <w:rsid w:val="2C9E7CD8"/>
    <w:rsid w:val="2CA75A74"/>
    <w:rsid w:val="2CAF6B04"/>
    <w:rsid w:val="2CB0279E"/>
    <w:rsid w:val="2CD12AE5"/>
    <w:rsid w:val="2D1352C4"/>
    <w:rsid w:val="2D1E41EB"/>
    <w:rsid w:val="2D267C9A"/>
    <w:rsid w:val="2D310CA2"/>
    <w:rsid w:val="2D373D61"/>
    <w:rsid w:val="2D3A323B"/>
    <w:rsid w:val="2D4B55E5"/>
    <w:rsid w:val="2D4C0E6E"/>
    <w:rsid w:val="2D53589F"/>
    <w:rsid w:val="2D5E4035"/>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2B63FE"/>
    <w:rsid w:val="2E2E16A7"/>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70752"/>
    <w:rsid w:val="2EEB0155"/>
    <w:rsid w:val="2EFA0186"/>
    <w:rsid w:val="2F0236C3"/>
    <w:rsid w:val="2F082BB8"/>
    <w:rsid w:val="2F0A286A"/>
    <w:rsid w:val="2F0C2ED0"/>
    <w:rsid w:val="2F0F048D"/>
    <w:rsid w:val="2F140F9B"/>
    <w:rsid w:val="2F2B5ABF"/>
    <w:rsid w:val="2F2E604D"/>
    <w:rsid w:val="2F345DAF"/>
    <w:rsid w:val="2F417886"/>
    <w:rsid w:val="2F5D2DA3"/>
    <w:rsid w:val="2F675A9B"/>
    <w:rsid w:val="2F882E85"/>
    <w:rsid w:val="2F9A7F4A"/>
    <w:rsid w:val="2FB63290"/>
    <w:rsid w:val="2FC733B8"/>
    <w:rsid w:val="2FCA4F20"/>
    <w:rsid w:val="300C4C70"/>
    <w:rsid w:val="30291A13"/>
    <w:rsid w:val="303371BB"/>
    <w:rsid w:val="3044399D"/>
    <w:rsid w:val="30487E8C"/>
    <w:rsid w:val="305868C6"/>
    <w:rsid w:val="305B1097"/>
    <w:rsid w:val="306445C1"/>
    <w:rsid w:val="30695E81"/>
    <w:rsid w:val="306F3DBA"/>
    <w:rsid w:val="307F14D6"/>
    <w:rsid w:val="308640A9"/>
    <w:rsid w:val="30896C6B"/>
    <w:rsid w:val="309E4CFC"/>
    <w:rsid w:val="30C61AC5"/>
    <w:rsid w:val="30D0377D"/>
    <w:rsid w:val="30D1717F"/>
    <w:rsid w:val="30D2261F"/>
    <w:rsid w:val="30DE0226"/>
    <w:rsid w:val="30F50A2A"/>
    <w:rsid w:val="31007D5E"/>
    <w:rsid w:val="310427FF"/>
    <w:rsid w:val="31115223"/>
    <w:rsid w:val="3112044C"/>
    <w:rsid w:val="312440E9"/>
    <w:rsid w:val="31263645"/>
    <w:rsid w:val="312772AE"/>
    <w:rsid w:val="312F0667"/>
    <w:rsid w:val="31442CD4"/>
    <w:rsid w:val="31445B9B"/>
    <w:rsid w:val="314A653C"/>
    <w:rsid w:val="314C64DA"/>
    <w:rsid w:val="316B13D5"/>
    <w:rsid w:val="31720F1D"/>
    <w:rsid w:val="31745B98"/>
    <w:rsid w:val="317A7F18"/>
    <w:rsid w:val="317E525C"/>
    <w:rsid w:val="31837E97"/>
    <w:rsid w:val="319951C3"/>
    <w:rsid w:val="31B347D1"/>
    <w:rsid w:val="31BF03E5"/>
    <w:rsid w:val="31C0462A"/>
    <w:rsid w:val="31CB03B0"/>
    <w:rsid w:val="31CE29FE"/>
    <w:rsid w:val="31E4153A"/>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A4B0B"/>
    <w:rsid w:val="329119F4"/>
    <w:rsid w:val="32B13765"/>
    <w:rsid w:val="32CA65F9"/>
    <w:rsid w:val="32D942C8"/>
    <w:rsid w:val="33054854"/>
    <w:rsid w:val="33064DC6"/>
    <w:rsid w:val="330844B4"/>
    <w:rsid w:val="330A16FB"/>
    <w:rsid w:val="33141FF7"/>
    <w:rsid w:val="331B0364"/>
    <w:rsid w:val="333B776E"/>
    <w:rsid w:val="333E0092"/>
    <w:rsid w:val="33482976"/>
    <w:rsid w:val="33506C9F"/>
    <w:rsid w:val="3360334C"/>
    <w:rsid w:val="33742E43"/>
    <w:rsid w:val="33775E05"/>
    <w:rsid w:val="337A0512"/>
    <w:rsid w:val="338574F9"/>
    <w:rsid w:val="338F55A8"/>
    <w:rsid w:val="33A078AB"/>
    <w:rsid w:val="33A222F8"/>
    <w:rsid w:val="33B145B5"/>
    <w:rsid w:val="33B26AB4"/>
    <w:rsid w:val="33B85C62"/>
    <w:rsid w:val="33B90357"/>
    <w:rsid w:val="33C3614F"/>
    <w:rsid w:val="33D62B96"/>
    <w:rsid w:val="33E32DB1"/>
    <w:rsid w:val="33F14691"/>
    <w:rsid w:val="33FF7460"/>
    <w:rsid w:val="342C53D2"/>
    <w:rsid w:val="342E023B"/>
    <w:rsid w:val="344127C5"/>
    <w:rsid w:val="34423581"/>
    <w:rsid w:val="34526E6E"/>
    <w:rsid w:val="34563647"/>
    <w:rsid w:val="345B1895"/>
    <w:rsid w:val="3463085A"/>
    <w:rsid w:val="3485590E"/>
    <w:rsid w:val="348744C2"/>
    <w:rsid w:val="3494430D"/>
    <w:rsid w:val="34946C2E"/>
    <w:rsid w:val="34A24AD6"/>
    <w:rsid w:val="34BA1AF2"/>
    <w:rsid w:val="34BA788F"/>
    <w:rsid w:val="34C04708"/>
    <w:rsid w:val="34C967AE"/>
    <w:rsid w:val="34D46D17"/>
    <w:rsid w:val="34FB2B80"/>
    <w:rsid w:val="34FD5844"/>
    <w:rsid w:val="35202182"/>
    <w:rsid w:val="35280DED"/>
    <w:rsid w:val="35463167"/>
    <w:rsid w:val="35665ADB"/>
    <w:rsid w:val="35770BA6"/>
    <w:rsid w:val="35816EB9"/>
    <w:rsid w:val="35821E3D"/>
    <w:rsid w:val="359F5261"/>
    <w:rsid w:val="35B06EC9"/>
    <w:rsid w:val="35B35F81"/>
    <w:rsid w:val="35C2434B"/>
    <w:rsid w:val="35CA5DCC"/>
    <w:rsid w:val="35F41A2F"/>
    <w:rsid w:val="35F421D8"/>
    <w:rsid w:val="35FE7215"/>
    <w:rsid w:val="35FF2DF2"/>
    <w:rsid w:val="36000F59"/>
    <w:rsid w:val="3600703E"/>
    <w:rsid w:val="360A28F0"/>
    <w:rsid w:val="360A456E"/>
    <w:rsid w:val="360B232F"/>
    <w:rsid w:val="361D59BA"/>
    <w:rsid w:val="36247CCA"/>
    <w:rsid w:val="36280FB0"/>
    <w:rsid w:val="36400759"/>
    <w:rsid w:val="364225B8"/>
    <w:rsid w:val="364B4F18"/>
    <w:rsid w:val="364E6ED2"/>
    <w:rsid w:val="36520E31"/>
    <w:rsid w:val="36544E83"/>
    <w:rsid w:val="36601F32"/>
    <w:rsid w:val="366623CD"/>
    <w:rsid w:val="367B06EC"/>
    <w:rsid w:val="368400A0"/>
    <w:rsid w:val="368B76C7"/>
    <w:rsid w:val="36A57135"/>
    <w:rsid w:val="36AF0D32"/>
    <w:rsid w:val="36B72AD3"/>
    <w:rsid w:val="36C5766F"/>
    <w:rsid w:val="36CC1D0A"/>
    <w:rsid w:val="36D41560"/>
    <w:rsid w:val="36D704F3"/>
    <w:rsid w:val="36DE6A7C"/>
    <w:rsid w:val="36E44BB3"/>
    <w:rsid w:val="36E90250"/>
    <w:rsid w:val="36ED465C"/>
    <w:rsid w:val="36F13515"/>
    <w:rsid w:val="370058B6"/>
    <w:rsid w:val="37066B46"/>
    <w:rsid w:val="37131885"/>
    <w:rsid w:val="37146912"/>
    <w:rsid w:val="372D3B8B"/>
    <w:rsid w:val="372E53E1"/>
    <w:rsid w:val="374604DA"/>
    <w:rsid w:val="37556EFB"/>
    <w:rsid w:val="37634C0D"/>
    <w:rsid w:val="37635AA2"/>
    <w:rsid w:val="376D038A"/>
    <w:rsid w:val="378D4EC4"/>
    <w:rsid w:val="379127D4"/>
    <w:rsid w:val="3794359E"/>
    <w:rsid w:val="3795413E"/>
    <w:rsid w:val="37B01FC8"/>
    <w:rsid w:val="37BE275C"/>
    <w:rsid w:val="37CC087E"/>
    <w:rsid w:val="37F7211A"/>
    <w:rsid w:val="37FB3BA9"/>
    <w:rsid w:val="37FD2BB1"/>
    <w:rsid w:val="37FE1821"/>
    <w:rsid w:val="38115BCA"/>
    <w:rsid w:val="381D63E4"/>
    <w:rsid w:val="383C048E"/>
    <w:rsid w:val="38454C9B"/>
    <w:rsid w:val="38521CF7"/>
    <w:rsid w:val="385A5B31"/>
    <w:rsid w:val="385A68D2"/>
    <w:rsid w:val="385D335B"/>
    <w:rsid w:val="388116C0"/>
    <w:rsid w:val="388C714F"/>
    <w:rsid w:val="38946C1E"/>
    <w:rsid w:val="38966DB9"/>
    <w:rsid w:val="38B20894"/>
    <w:rsid w:val="38C2768F"/>
    <w:rsid w:val="38C64558"/>
    <w:rsid w:val="38E37461"/>
    <w:rsid w:val="38F418EC"/>
    <w:rsid w:val="39105A0A"/>
    <w:rsid w:val="39191093"/>
    <w:rsid w:val="391B76F1"/>
    <w:rsid w:val="391E2CD2"/>
    <w:rsid w:val="392245B5"/>
    <w:rsid w:val="39235BBC"/>
    <w:rsid w:val="393D721A"/>
    <w:rsid w:val="393F0F59"/>
    <w:rsid w:val="394A6B61"/>
    <w:rsid w:val="394F360B"/>
    <w:rsid w:val="39511E95"/>
    <w:rsid w:val="395F65F0"/>
    <w:rsid w:val="39825EF1"/>
    <w:rsid w:val="398636A1"/>
    <w:rsid w:val="398642C1"/>
    <w:rsid w:val="39897949"/>
    <w:rsid w:val="398D1EFD"/>
    <w:rsid w:val="398D694C"/>
    <w:rsid w:val="398D7945"/>
    <w:rsid w:val="399D7118"/>
    <w:rsid w:val="39BC5220"/>
    <w:rsid w:val="39C94761"/>
    <w:rsid w:val="39D879D3"/>
    <w:rsid w:val="39DA1EF5"/>
    <w:rsid w:val="39DB3A6E"/>
    <w:rsid w:val="39E245E4"/>
    <w:rsid w:val="39E84CC6"/>
    <w:rsid w:val="39FC179E"/>
    <w:rsid w:val="3A014E17"/>
    <w:rsid w:val="3A066018"/>
    <w:rsid w:val="3A210C10"/>
    <w:rsid w:val="3A214CC6"/>
    <w:rsid w:val="3A27547C"/>
    <w:rsid w:val="3A3871E3"/>
    <w:rsid w:val="3A3C3C45"/>
    <w:rsid w:val="3A641609"/>
    <w:rsid w:val="3A663EB0"/>
    <w:rsid w:val="3A87071A"/>
    <w:rsid w:val="3A9B7C92"/>
    <w:rsid w:val="3AAC76F2"/>
    <w:rsid w:val="3AAD5CAC"/>
    <w:rsid w:val="3AAF045C"/>
    <w:rsid w:val="3AC53317"/>
    <w:rsid w:val="3AD8079E"/>
    <w:rsid w:val="3AF05E33"/>
    <w:rsid w:val="3AF1344F"/>
    <w:rsid w:val="3B1C5B19"/>
    <w:rsid w:val="3B2301BB"/>
    <w:rsid w:val="3B294F65"/>
    <w:rsid w:val="3B303144"/>
    <w:rsid w:val="3B35189F"/>
    <w:rsid w:val="3B362C4D"/>
    <w:rsid w:val="3B4D5E29"/>
    <w:rsid w:val="3B596EC3"/>
    <w:rsid w:val="3B8631C4"/>
    <w:rsid w:val="3B8A1A7E"/>
    <w:rsid w:val="3B937719"/>
    <w:rsid w:val="3B942B73"/>
    <w:rsid w:val="3B9674D7"/>
    <w:rsid w:val="3BA20424"/>
    <w:rsid w:val="3BB335AC"/>
    <w:rsid w:val="3BC165FE"/>
    <w:rsid w:val="3BD3067E"/>
    <w:rsid w:val="3BD53AB5"/>
    <w:rsid w:val="3BDF0A62"/>
    <w:rsid w:val="3BEF40B2"/>
    <w:rsid w:val="3BF363D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175178"/>
    <w:rsid w:val="3D277613"/>
    <w:rsid w:val="3D2F2FAD"/>
    <w:rsid w:val="3D3C5369"/>
    <w:rsid w:val="3D4E395C"/>
    <w:rsid w:val="3D66205D"/>
    <w:rsid w:val="3D6D5EA9"/>
    <w:rsid w:val="3D7004A1"/>
    <w:rsid w:val="3D7849C8"/>
    <w:rsid w:val="3D79071F"/>
    <w:rsid w:val="3DA54021"/>
    <w:rsid w:val="3DC60482"/>
    <w:rsid w:val="3DD171A7"/>
    <w:rsid w:val="3DDC1724"/>
    <w:rsid w:val="3DEC1B94"/>
    <w:rsid w:val="3E127B19"/>
    <w:rsid w:val="3E1A30A6"/>
    <w:rsid w:val="3E2653DC"/>
    <w:rsid w:val="3E2B50D7"/>
    <w:rsid w:val="3E327F30"/>
    <w:rsid w:val="3E3758F3"/>
    <w:rsid w:val="3E41291F"/>
    <w:rsid w:val="3E4754A6"/>
    <w:rsid w:val="3E6926D3"/>
    <w:rsid w:val="3E786B14"/>
    <w:rsid w:val="3E860F10"/>
    <w:rsid w:val="3E913ADC"/>
    <w:rsid w:val="3E922B85"/>
    <w:rsid w:val="3E922D59"/>
    <w:rsid w:val="3E9A15EB"/>
    <w:rsid w:val="3EA3700C"/>
    <w:rsid w:val="3EA411EE"/>
    <w:rsid w:val="3EA452C3"/>
    <w:rsid w:val="3EAD2C67"/>
    <w:rsid w:val="3EB02205"/>
    <w:rsid w:val="3EB47903"/>
    <w:rsid w:val="3ED219A5"/>
    <w:rsid w:val="3ED7637C"/>
    <w:rsid w:val="3EDA3A1A"/>
    <w:rsid w:val="3EDF0CF3"/>
    <w:rsid w:val="3EE8557E"/>
    <w:rsid w:val="3EED740D"/>
    <w:rsid w:val="3F1630F2"/>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AA401E"/>
    <w:rsid w:val="3FB1447F"/>
    <w:rsid w:val="3FC35AFC"/>
    <w:rsid w:val="3FC41983"/>
    <w:rsid w:val="3FD1414D"/>
    <w:rsid w:val="3FD700C5"/>
    <w:rsid w:val="3FD81218"/>
    <w:rsid w:val="3FDF4343"/>
    <w:rsid w:val="3FE0724A"/>
    <w:rsid w:val="3FF35E75"/>
    <w:rsid w:val="400406D1"/>
    <w:rsid w:val="400479C3"/>
    <w:rsid w:val="40291A02"/>
    <w:rsid w:val="40404B79"/>
    <w:rsid w:val="404358BE"/>
    <w:rsid w:val="40504A5A"/>
    <w:rsid w:val="40797278"/>
    <w:rsid w:val="408E3720"/>
    <w:rsid w:val="40912007"/>
    <w:rsid w:val="409672FB"/>
    <w:rsid w:val="409B357D"/>
    <w:rsid w:val="409F5F96"/>
    <w:rsid w:val="40B43BF9"/>
    <w:rsid w:val="40BC2DF7"/>
    <w:rsid w:val="40CE14CF"/>
    <w:rsid w:val="40CF6877"/>
    <w:rsid w:val="40D814C3"/>
    <w:rsid w:val="40E17710"/>
    <w:rsid w:val="40E86C9E"/>
    <w:rsid w:val="40F347AB"/>
    <w:rsid w:val="40F83F72"/>
    <w:rsid w:val="410369CA"/>
    <w:rsid w:val="411713CA"/>
    <w:rsid w:val="411A6663"/>
    <w:rsid w:val="412D5086"/>
    <w:rsid w:val="41411F23"/>
    <w:rsid w:val="41490BDC"/>
    <w:rsid w:val="414B2D54"/>
    <w:rsid w:val="416E59E3"/>
    <w:rsid w:val="417C4EC1"/>
    <w:rsid w:val="41904377"/>
    <w:rsid w:val="41A664B7"/>
    <w:rsid w:val="41B601E7"/>
    <w:rsid w:val="41CF3C25"/>
    <w:rsid w:val="41DF5CBF"/>
    <w:rsid w:val="41E14722"/>
    <w:rsid w:val="41E83086"/>
    <w:rsid w:val="41EB174A"/>
    <w:rsid w:val="42170741"/>
    <w:rsid w:val="42177507"/>
    <w:rsid w:val="42204CE4"/>
    <w:rsid w:val="42226713"/>
    <w:rsid w:val="422B2BA1"/>
    <w:rsid w:val="4231785A"/>
    <w:rsid w:val="4235332E"/>
    <w:rsid w:val="42584818"/>
    <w:rsid w:val="425D1AEE"/>
    <w:rsid w:val="427E48C1"/>
    <w:rsid w:val="42926048"/>
    <w:rsid w:val="429819E4"/>
    <w:rsid w:val="429B6E22"/>
    <w:rsid w:val="429C6B61"/>
    <w:rsid w:val="42A90F8A"/>
    <w:rsid w:val="42B34A1F"/>
    <w:rsid w:val="42B86E9B"/>
    <w:rsid w:val="42BD444E"/>
    <w:rsid w:val="42BF4C55"/>
    <w:rsid w:val="42C03D90"/>
    <w:rsid w:val="42C845D8"/>
    <w:rsid w:val="42DC40D1"/>
    <w:rsid w:val="42F91034"/>
    <w:rsid w:val="43262E27"/>
    <w:rsid w:val="432A3936"/>
    <w:rsid w:val="434841F7"/>
    <w:rsid w:val="434D6B99"/>
    <w:rsid w:val="43524A05"/>
    <w:rsid w:val="437F792B"/>
    <w:rsid w:val="43871CB4"/>
    <w:rsid w:val="43A63D98"/>
    <w:rsid w:val="43AB188A"/>
    <w:rsid w:val="43B04917"/>
    <w:rsid w:val="43BE214E"/>
    <w:rsid w:val="43E92A8F"/>
    <w:rsid w:val="43ED298C"/>
    <w:rsid w:val="43EF2991"/>
    <w:rsid w:val="43F4696E"/>
    <w:rsid w:val="44165D6C"/>
    <w:rsid w:val="44261423"/>
    <w:rsid w:val="442D4378"/>
    <w:rsid w:val="443B708A"/>
    <w:rsid w:val="445141B4"/>
    <w:rsid w:val="4455118A"/>
    <w:rsid w:val="44597BEE"/>
    <w:rsid w:val="447A4753"/>
    <w:rsid w:val="44A70E24"/>
    <w:rsid w:val="44CD05ED"/>
    <w:rsid w:val="44DD300E"/>
    <w:rsid w:val="44E2656D"/>
    <w:rsid w:val="44EC169C"/>
    <w:rsid w:val="44F11452"/>
    <w:rsid w:val="44FF451E"/>
    <w:rsid w:val="45177BA4"/>
    <w:rsid w:val="451C551F"/>
    <w:rsid w:val="451F3CCA"/>
    <w:rsid w:val="45341196"/>
    <w:rsid w:val="45492E86"/>
    <w:rsid w:val="45493A4F"/>
    <w:rsid w:val="454E4188"/>
    <w:rsid w:val="45553167"/>
    <w:rsid w:val="455B7427"/>
    <w:rsid w:val="45727755"/>
    <w:rsid w:val="45965757"/>
    <w:rsid w:val="45976268"/>
    <w:rsid w:val="45BA5028"/>
    <w:rsid w:val="45CA6C10"/>
    <w:rsid w:val="45CE5804"/>
    <w:rsid w:val="45D01294"/>
    <w:rsid w:val="45DA4126"/>
    <w:rsid w:val="45DC1DF8"/>
    <w:rsid w:val="45E03532"/>
    <w:rsid w:val="45FB48CF"/>
    <w:rsid w:val="46246925"/>
    <w:rsid w:val="462B5D44"/>
    <w:rsid w:val="462D5957"/>
    <w:rsid w:val="462E6F30"/>
    <w:rsid w:val="463354F6"/>
    <w:rsid w:val="463546D0"/>
    <w:rsid w:val="465346A2"/>
    <w:rsid w:val="46586687"/>
    <w:rsid w:val="466309D9"/>
    <w:rsid w:val="466A2150"/>
    <w:rsid w:val="466D3B0A"/>
    <w:rsid w:val="466E793A"/>
    <w:rsid w:val="46844FFB"/>
    <w:rsid w:val="46864313"/>
    <w:rsid w:val="468C1039"/>
    <w:rsid w:val="468C15DE"/>
    <w:rsid w:val="468F344C"/>
    <w:rsid w:val="46CE17A4"/>
    <w:rsid w:val="46D81406"/>
    <w:rsid w:val="46D906C6"/>
    <w:rsid w:val="46EE3AEB"/>
    <w:rsid w:val="47050296"/>
    <w:rsid w:val="470A5361"/>
    <w:rsid w:val="47180E24"/>
    <w:rsid w:val="471866FB"/>
    <w:rsid w:val="471C076F"/>
    <w:rsid w:val="471C5343"/>
    <w:rsid w:val="472022E1"/>
    <w:rsid w:val="472406DF"/>
    <w:rsid w:val="472D3683"/>
    <w:rsid w:val="473B416A"/>
    <w:rsid w:val="473B7E9E"/>
    <w:rsid w:val="47403AF2"/>
    <w:rsid w:val="47453C8F"/>
    <w:rsid w:val="4748211F"/>
    <w:rsid w:val="475B3378"/>
    <w:rsid w:val="475C5C59"/>
    <w:rsid w:val="47632541"/>
    <w:rsid w:val="4766347D"/>
    <w:rsid w:val="47715F93"/>
    <w:rsid w:val="478D4609"/>
    <w:rsid w:val="478D6A12"/>
    <w:rsid w:val="47962309"/>
    <w:rsid w:val="479C610A"/>
    <w:rsid w:val="47A32AF0"/>
    <w:rsid w:val="47AF032C"/>
    <w:rsid w:val="47BA0CEF"/>
    <w:rsid w:val="47E24056"/>
    <w:rsid w:val="47EA4D37"/>
    <w:rsid w:val="47EC146A"/>
    <w:rsid w:val="47FF6106"/>
    <w:rsid w:val="48004D76"/>
    <w:rsid w:val="481D74A2"/>
    <w:rsid w:val="481E4667"/>
    <w:rsid w:val="4822672A"/>
    <w:rsid w:val="48334280"/>
    <w:rsid w:val="48382E4F"/>
    <w:rsid w:val="48386782"/>
    <w:rsid w:val="4839372F"/>
    <w:rsid w:val="48406A1E"/>
    <w:rsid w:val="48455013"/>
    <w:rsid w:val="484726A4"/>
    <w:rsid w:val="484B7369"/>
    <w:rsid w:val="487274B4"/>
    <w:rsid w:val="487C2EB0"/>
    <w:rsid w:val="487F714C"/>
    <w:rsid w:val="48811612"/>
    <w:rsid w:val="488818E0"/>
    <w:rsid w:val="48AE426D"/>
    <w:rsid w:val="48B45B37"/>
    <w:rsid w:val="48D97A24"/>
    <w:rsid w:val="48E06989"/>
    <w:rsid w:val="48E2763C"/>
    <w:rsid w:val="48E92C88"/>
    <w:rsid w:val="48EB1D85"/>
    <w:rsid w:val="48FC51E1"/>
    <w:rsid w:val="49282A41"/>
    <w:rsid w:val="494C141C"/>
    <w:rsid w:val="4954359E"/>
    <w:rsid w:val="49605AC3"/>
    <w:rsid w:val="49821D8D"/>
    <w:rsid w:val="4987544D"/>
    <w:rsid w:val="498C49B3"/>
    <w:rsid w:val="498D16DA"/>
    <w:rsid w:val="49995BD6"/>
    <w:rsid w:val="499A7FC9"/>
    <w:rsid w:val="49AE3D92"/>
    <w:rsid w:val="49BF2772"/>
    <w:rsid w:val="49C128B7"/>
    <w:rsid w:val="49C15E4E"/>
    <w:rsid w:val="49C47EBE"/>
    <w:rsid w:val="49C55CAD"/>
    <w:rsid w:val="49CA225D"/>
    <w:rsid w:val="49D270B8"/>
    <w:rsid w:val="4A1203E3"/>
    <w:rsid w:val="4A3509A5"/>
    <w:rsid w:val="4A3C31F7"/>
    <w:rsid w:val="4A3E054A"/>
    <w:rsid w:val="4A4A4E86"/>
    <w:rsid w:val="4A863FBD"/>
    <w:rsid w:val="4A8674C9"/>
    <w:rsid w:val="4A892CB4"/>
    <w:rsid w:val="4A9657FA"/>
    <w:rsid w:val="4AA27D8E"/>
    <w:rsid w:val="4AA927DF"/>
    <w:rsid w:val="4AB450E7"/>
    <w:rsid w:val="4ABD2CBE"/>
    <w:rsid w:val="4ACA49FA"/>
    <w:rsid w:val="4ACC15C6"/>
    <w:rsid w:val="4ACC17F6"/>
    <w:rsid w:val="4AE8469B"/>
    <w:rsid w:val="4AED30D2"/>
    <w:rsid w:val="4AF05435"/>
    <w:rsid w:val="4AFE1C1B"/>
    <w:rsid w:val="4B0F5536"/>
    <w:rsid w:val="4B503DE9"/>
    <w:rsid w:val="4B592E57"/>
    <w:rsid w:val="4B5E33E5"/>
    <w:rsid w:val="4B731311"/>
    <w:rsid w:val="4B903AF5"/>
    <w:rsid w:val="4B9A2375"/>
    <w:rsid w:val="4BA754D9"/>
    <w:rsid w:val="4BAD17E4"/>
    <w:rsid w:val="4BAF7B70"/>
    <w:rsid w:val="4BFE77EE"/>
    <w:rsid w:val="4C0D0455"/>
    <w:rsid w:val="4C1F5374"/>
    <w:rsid w:val="4C1F7A5B"/>
    <w:rsid w:val="4C4048FC"/>
    <w:rsid w:val="4C493FB8"/>
    <w:rsid w:val="4C6C640D"/>
    <w:rsid w:val="4C722515"/>
    <w:rsid w:val="4C894A92"/>
    <w:rsid w:val="4C983FA4"/>
    <w:rsid w:val="4C9A5F96"/>
    <w:rsid w:val="4C9B7DE3"/>
    <w:rsid w:val="4C9F7E3C"/>
    <w:rsid w:val="4CA178A3"/>
    <w:rsid w:val="4CA9023C"/>
    <w:rsid w:val="4CB144C1"/>
    <w:rsid w:val="4CB3138C"/>
    <w:rsid w:val="4CBE1543"/>
    <w:rsid w:val="4CBE4760"/>
    <w:rsid w:val="4CCC2062"/>
    <w:rsid w:val="4CF30464"/>
    <w:rsid w:val="4CF86DA4"/>
    <w:rsid w:val="4CFB2CB0"/>
    <w:rsid w:val="4D020DA5"/>
    <w:rsid w:val="4D0D52CB"/>
    <w:rsid w:val="4D225AB9"/>
    <w:rsid w:val="4D2E312B"/>
    <w:rsid w:val="4D32348A"/>
    <w:rsid w:val="4D3E0B9C"/>
    <w:rsid w:val="4D566C49"/>
    <w:rsid w:val="4D6037A5"/>
    <w:rsid w:val="4D6A24D3"/>
    <w:rsid w:val="4D6B6587"/>
    <w:rsid w:val="4D743AA4"/>
    <w:rsid w:val="4D834946"/>
    <w:rsid w:val="4D993267"/>
    <w:rsid w:val="4DA1355F"/>
    <w:rsid w:val="4DA537BB"/>
    <w:rsid w:val="4DA53A8B"/>
    <w:rsid w:val="4DA62BFC"/>
    <w:rsid w:val="4DBB336E"/>
    <w:rsid w:val="4DBE6815"/>
    <w:rsid w:val="4DC16978"/>
    <w:rsid w:val="4DD81F1E"/>
    <w:rsid w:val="4DD92250"/>
    <w:rsid w:val="4DF67531"/>
    <w:rsid w:val="4DF9062B"/>
    <w:rsid w:val="4E014EF8"/>
    <w:rsid w:val="4E066E93"/>
    <w:rsid w:val="4E075658"/>
    <w:rsid w:val="4E0D6F7B"/>
    <w:rsid w:val="4E1D7E77"/>
    <w:rsid w:val="4E2126E6"/>
    <w:rsid w:val="4E236A05"/>
    <w:rsid w:val="4E51451A"/>
    <w:rsid w:val="4E7D60BC"/>
    <w:rsid w:val="4E91581D"/>
    <w:rsid w:val="4EDE397C"/>
    <w:rsid w:val="4EF614BA"/>
    <w:rsid w:val="4EF62402"/>
    <w:rsid w:val="4F087D26"/>
    <w:rsid w:val="4F35630A"/>
    <w:rsid w:val="4F362E18"/>
    <w:rsid w:val="4F497B36"/>
    <w:rsid w:val="4F513B54"/>
    <w:rsid w:val="4F540B41"/>
    <w:rsid w:val="4F547EAA"/>
    <w:rsid w:val="4F5A6E3D"/>
    <w:rsid w:val="4F815846"/>
    <w:rsid w:val="4F832885"/>
    <w:rsid w:val="4F9039FE"/>
    <w:rsid w:val="4FAA20BA"/>
    <w:rsid w:val="4FB5670E"/>
    <w:rsid w:val="4FBC0BE9"/>
    <w:rsid w:val="4FBE2BCB"/>
    <w:rsid w:val="4FC328FD"/>
    <w:rsid w:val="4FE02223"/>
    <w:rsid w:val="500E6057"/>
    <w:rsid w:val="502072F3"/>
    <w:rsid w:val="50215022"/>
    <w:rsid w:val="5034536B"/>
    <w:rsid w:val="503D6956"/>
    <w:rsid w:val="50437224"/>
    <w:rsid w:val="50490678"/>
    <w:rsid w:val="505A512C"/>
    <w:rsid w:val="5071187C"/>
    <w:rsid w:val="5089260D"/>
    <w:rsid w:val="50895295"/>
    <w:rsid w:val="5098572F"/>
    <w:rsid w:val="509C5AFA"/>
    <w:rsid w:val="50A40755"/>
    <w:rsid w:val="50B906DF"/>
    <w:rsid w:val="50C7665C"/>
    <w:rsid w:val="50DD515E"/>
    <w:rsid w:val="50F018D3"/>
    <w:rsid w:val="50F47A17"/>
    <w:rsid w:val="51116C5C"/>
    <w:rsid w:val="511A6082"/>
    <w:rsid w:val="512A627B"/>
    <w:rsid w:val="51326B0B"/>
    <w:rsid w:val="51336612"/>
    <w:rsid w:val="513D38A6"/>
    <w:rsid w:val="51456AF4"/>
    <w:rsid w:val="515C1DCC"/>
    <w:rsid w:val="51657C34"/>
    <w:rsid w:val="51790E28"/>
    <w:rsid w:val="517C7028"/>
    <w:rsid w:val="519634A4"/>
    <w:rsid w:val="519B6609"/>
    <w:rsid w:val="519E5A25"/>
    <w:rsid w:val="51B858B2"/>
    <w:rsid w:val="51BE6CEC"/>
    <w:rsid w:val="51C26588"/>
    <w:rsid w:val="51D82383"/>
    <w:rsid w:val="51DE4114"/>
    <w:rsid w:val="51E31D3C"/>
    <w:rsid w:val="51F35F11"/>
    <w:rsid w:val="51F45C0D"/>
    <w:rsid w:val="51F45EC8"/>
    <w:rsid w:val="51FE2E2D"/>
    <w:rsid w:val="52021A82"/>
    <w:rsid w:val="520878FD"/>
    <w:rsid w:val="520A15B6"/>
    <w:rsid w:val="520B147C"/>
    <w:rsid w:val="520B6D49"/>
    <w:rsid w:val="520F2ED4"/>
    <w:rsid w:val="521402BD"/>
    <w:rsid w:val="522B39FB"/>
    <w:rsid w:val="522D5E42"/>
    <w:rsid w:val="52391E5F"/>
    <w:rsid w:val="52414E5C"/>
    <w:rsid w:val="52463FBA"/>
    <w:rsid w:val="524A5D65"/>
    <w:rsid w:val="524C1BBF"/>
    <w:rsid w:val="52547268"/>
    <w:rsid w:val="529526FC"/>
    <w:rsid w:val="529C45E9"/>
    <w:rsid w:val="52A17AC6"/>
    <w:rsid w:val="52C04D72"/>
    <w:rsid w:val="52CA35B0"/>
    <w:rsid w:val="52D27A41"/>
    <w:rsid w:val="52DC5FDB"/>
    <w:rsid w:val="52DD15C5"/>
    <w:rsid w:val="52EE7DBE"/>
    <w:rsid w:val="52F63B4F"/>
    <w:rsid w:val="53082F2C"/>
    <w:rsid w:val="530E35EF"/>
    <w:rsid w:val="53131C59"/>
    <w:rsid w:val="53286C71"/>
    <w:rsid w:val="53345BA9"/>
    <w:rsid w:val="53396085"/>
    <w:rsid w:val="534A7EEE"/>
    <w:rsid w:val="53670639"/>
    <w:rsid w:val="53686CBB"/>
    <w:rsid w:val="53981FA0"/>
    <w:rsid w:val="53B84C8E"/>
    <w:rsid w:val="53BD274E"/>
    <w:rsid w:val="53D54E37"/>
    <w:rsid w:val="53E65701"/>
    <w:rsid w:val="53F52A77"/>
    <w:rsid w:val="53FD5774"/>
    <w:rsid w:val="5414272D"/>
    <w:rsid w:val="541B3A0C"/>
    <w:rsid w:val="542E6AAF"/>
    <w:rsid w:val="543D68D9"/>
    <w:rsid w:val="54482B1B"/>
    <w:rsid w:val="54594A5E"/>
    <w:rsid w:val="546F7A15"/>
    <w:rsid w:val="54735D85"/>
    <w:rsid w:val="54871B54"/>
    <w:rsid w:val="54874106"/>
    <w:rsid w:val="549605A3"/>
    <w:rsid w:val="549F3EDE"/>
    <w:rsid w:val="54AA3CD9"/>
    <w:rsid w:val="54B76615"/>
    <w:rsid w:val="54C96C83"/>
    <w:rsid w:val="54D31B63"/>
    <w:rsid w:val="54EA3219"/>
    <w:rsid w:val="550118A5"/>
    <w:rsid w:val="550F3F04"/>
    <w:rsid w:val="5517071E"/>
    <w:rsid w:val="554860F4"/>
    <w:rsid w:val="555111B5"/>
    <w:rsid w:val="55582F0D"/>
    <w:rsid w:val="555E6BA7"/>
    <w:rsid w:val="556E2ECA"/>
    <w:rsid w:val="557A16A0"/>
    <w:rsid w:val="559719B0"/>
    <w:rsid w:val="559A22C4"/>
    <w:rsid w:val="559B2D2A"/>
    <w:rsid w:val="559C2F3F"/>
    <w:rsid w:val="559F228F"/>
    <w:rsid w:val="55A67EE8"/>
    <w:rsid w:val="55B54251"/>
    <w:rsid w:val="55B856D8"/>
    <w:rsid w:val="55D00DC0"/>
    <w:rsid w:val="55E8090D"/>
    <w:rsid w:val="55ED318A"/>
    <w:rsid w:val="56060266"/>
    <w:rsid w:val="560C4016"/>
    <w:rsid w:val="561A16CF"/>
    <w:rsid w:val="562A1609"/>
    <w:rsid w:val="563F74A4"/>
    <w:rsid w:val="566B53D2"/>
    <w:rsid w:val="56715C12"/>
    <w:rsid w:val="567B1141"/>
    <w:rsid w:val="567B56A9"/>
    <w:rsid w:val="5681373E"/>
    <w:rsid w:val="56991451"/>
    <w:rsid w:val="569A3398"/>
    <w:rsid w:val="569D6C7E"/>
    <w:rsid w:val="56A7418C"/>
    <w:rsid w:val="56AD7471"/>
    <w:rsid w:val="56B37495"/>
    <w:rsid w:val="56B5403A"/>
    <w:rsid w:val="56CA33E9"/>
    <w:rsid w:val="56EB3361"/>
    <w:rsid w:val="56F40954"/>
    <w:rsid w:val="56F72F30"/>
    <w:rsid w:val="570D256E"/>
    <w:rsid w:val="571635F3"/>
    <w:rsid w:val="57301450"/>
    <w:rsid w:val="573F6CF7"/>
    <w:rsid w:val="574D339C"/>
    <w:rsid w:val="5753468B"/>
    <w:rsid w:val="575B3101"/>
    <w:rsid w:val="575C2CCB"/>
    <w:rsid w:val="5760479D"/>
    <w:rsid w:val="576D43D6"/>
    <w:rsid w:val="5779650A"/>
    <w:rsid w:val="57827964"/>
    <w:rsid w:val="57907814"/>
    <w:rsid w:val="57A31384"/>
    <w:rsid w:val="57B11185"/>
    <w:rsid w:val="57BA33E6"/>
    <w:rsid w:val="57C451DA"/>
    <w:rsid w:val="57E12441"/>
    <w:rsid w:val="57E52AC8"/>
    <w:rsid w:val="57F25C54"/>
    <w:rsid w:val="58037259"/>
    <w:rsid w:val="580B1E0B"/>
    <w:rsid w:val="58164A86"/>
    <w:rsid w:val="58224F50"/>
    <w:rsid w:val="582E7015"/>
    <w:rsid w:val="584410CC"/>
    <w:rsid w:val="584A5363"/>
    <w:rsid w:val="58547CEB"/>
    <w:rsid w:val="585712B7"/>
    <w:rsid w:val="58603614"/>
    <w:rsid w:val="58615E6E"/>
    <w:rsid w:val="58635793"/>
    <w:rsid w:val="586A36EE"/>
    <w:rsid w:val="58826B95"/>
    <w:rsid w:val="588C11D6"/>
    <w:rsid w:val="58C16B43"/>
    <w:rsid w:val="58D17534"/>
    <w:rsid w:val="58E30231"/>
    <w:rsid w:val="58EF47AD"/>
    <w:rsid w:val="59033141"/>
    <w:rsid w:val="591459A0"/>
    <w:rsid w:val="591E103A"/>
    <w:rsid w:val="592A36F8"/>
    <w:rsid w:val="5930512A"/>
    <w:rsid w:val="594409C9"/>
    <w:rsid w:val="59477195"/>
    <w:rsid w:val="59491402"/>
    <w:rsid w:val="594F0C2A"/>
    <w:rsid w:val="594F459C"/>
    <w:rsid w:val="595C25C6"/>
    <w:rsid w:val="595E1632"/>
    <w:rsid w:val="595F13E9"/>
    <w:rsid w:val="59785D4E"/>
    <w:rsid w:val="597E2527"/>
    <w:rsid w:val="598D7571"/>
    <w:rsid w:val="599D32C2"/>
    <w:rsid w:val="59A84CD5"/>
    <w:rsid w:val="59AB0581"/>
    <w:rsid w:val="59CA0DF6"/>
    <w:rsid w:val="59CD2536"/>
    <w:rsid w:val="59D05539"/>
    <w:rsid w:val="59E12D2E"/>
    <w:rsid w:val="59E52A0A"/>
    <w:rsid w:val="59E56E97"/>
    <w:rsid w:val="59EE0B0E"/>
    <w:rsid w:val="59EF52ED"/>
    <w:rsid w:val="59F378E0"/>
    <w:rsid w:val="5A03208B"/>
    <w:rsid w:val="5A11498E"/>
    <w:rsid w:val="5A1B27B8"/>
    <w:rsid w:val="5A392B8C"/>
    <w:rsid w:val="5A41505E"/>
    <w:rsid w:val="5A5D695E"/>
    <w:rsid w:val="5A60385B"/>
    <w:rsid w:val="5A646B5B"/>
    <w:rsid w:val="5A796238"/>
    <w:rsid w:val="5AC608F3"/>
    <w:rsid w:val="5ACA2411"/>
    <w:rsid w:val="5AE31485"/>
    <w:rsid w:val="5AF626D8"/>
    <w:rsid w:val="5AF62900"/>
    <w:rsid w:val="5AFC40F3"/>
    <w:rsid w:val="5B053218"/>
    <w:rsid w:val="5B0D46E9"/>
    <w:rsid w:val="5B22062D"/>
    <w:rsid w:val="5B241C6D"/>
    <w:rsid w:val="5B2B355B"/>
    <w:rsid w:val="5B3E3090"/>
    <w:rsid w:val="5B413ED9"/>
    <w:rsid w:val="5B666F69"/>
    <w:rsid w:val="5B736DFC"/>
    <w:rsid w:val="5B74248A"/>
    <w:rsid w:val="5B7C3A7D"/>
    <w:rsid w:val="5B8675CA"/>
    <w:rsid w:val="5B8E5661"/>
    <w:rsid w:val="5B8F0C2B"/>
    <w:rsid w:val="5B9671CE"/>
    <w:rsid w:val="5BA652CD"/>
    <w:rsid w:val="5BDA1A02"/>
    <w:rsid w:val="5BDA3815"/>
    <w:rsid w:val="5C0A6081"/>
    <w:rsid w:val="5C100E26"/>
    <w:rsid w:val="5C1C1366"/>
    <w:rsid w:val="5C3106D1"/>
    <w:rsid w:val="5C4C3CC9"/>
    <w:rsid w:val="5C5C59BB"/>
    <w:rsid w:val="5C69536C"/>
    <w:rsid w:val="5C6A1E8C"/>
    <w:rsid w:val="5C6F3AA2"/>
    <w:rsid w:val="5C85298F"/>
    <w:rsid w:val="5CA565E2"/>
    <w:rsid w:val="5CDC5778"/>
    <w:rsid w:val="5CDC65F4"/>
    <w:rsid w:val="5CE17D28"/>
    <w:rsid w:val="5CE70DB3"/>
    <w:rsid w:val="5CE943C9"/>
    <w:rsid w:val="5CF20C05"/>
    <w:rsid w:val="5CF21D7F"/>
    <w:rsid w:val="5CF617C9"/>
    <w:rsid w:val="5D015FA3"/>
    <w:rsid w:val="5D047EE8"/>
    <w:rsid w:val="5D110C61"/>
    <w:rsid w:val="5D126228"/>
    <w:rsid w:val="5D1949C1"/>
    <w:rsid w:val="5D1B0F43"/>
    <w:rsid w:val="5D1F3C0E"/>
    <w:rsid w:val="5D3734F1"/>
    <w:rsid w:val="5D3A42DC"/>
    <w:rsid w:val="5D423265"/>
    <w:rsid w:val="5D46020C"/>
    <w:rsid w:val="5D4A0C8B"/>
    <w:rsid w:val="5D6C6AD3"/>
    <w:rsid w:val="5DA31640"/>
    <w:rsid w:val="5DCE771F"/>
    <w:rsid w:val="5DD3556C"/>
    <w:rsid w:val="5DD81E67"/>
    <w:rsid w:val="5DE6704B"/>
    <w:rsid w:val="5DEA5E1E"/>
    <w:rsid w:val="5DEC3B70"/>
    <w:rsid w:val="5DF84369"/>
    <w:rsid w:val="5DF92DCB"/>
    <w:rsid w:val="5E091FB5"/>
    <w:rsid w:val="5E0E0B57"/>
    <w:rsid w:val="5E177160"/>
    <w:rsid w:val="5E277D80"/>
    <w:rsid w:val="5E280CB5"/>
    <w:rsid w:val="5E2F1ECF"/>
    <w:rsid w:val="5E4130FC"/>
    <w:rsid w:val="5E447267"/>
    <w:rsid w:val="5E4636DC"/>
    <w:rsid w:val="5E4A572D"/>
    <w:rsid w:val="5E5667A6"/>
    <w:rsid w:val="5E5C2FC2"/>
    <w:rsid w:val="5E676802"/>
    <w:rsid w:val="5E6C1E14"/>
    <w:rsid w:val="5E6C7C78"/>
    <w:rsid w:val="5E72699B"/>
    <w:rsid w:val="5E794082"/>
    <w:rsid w:val="5E815CED"/>
    <w:rsid w:val="5E887A26"/>
    <w:rsid w:val="5E8C28B6"/>
    <w:rsid w:val="5E8E2A3B"/>
    <w:rsid w:val="5E8E48D5"/>
    <w:rsid w:val="5EA35CFD"/>
    <w:rsid w:val="5EAC0CC5"/>
    <w:rsid w:val="5EAF07E9"/>
    <w:rsid w:val="5EB75E1B"/>
    <w:rsid w:val="5EC56393"/>
    <w:rsid w:val="5EF078DD"/>
    <w:rsid w:val="5EF62DCD"/>
    <w:rsid w:val="5EFB0071"/>
    <w:rsid w:val="5EFE34A1"/>
    <w:rsid w:val="5F173FD8"/>
    <w:rsid w:val="5F257412"/>
    <w:rsid w:val="5F3262F4"/>
    <w:rsid w:val="5F375038"/>
    <w:rsid w:val="5F5C27E5"/>
    <w:rsid w:val="5F6938A8"/>
    <w:rsid w:val="5F6E2815"/>
    <w:rsid w:val="5F7C06D8"/>
    <w:rsid w:val="5F9430F2"/>
    <w:rsid w:val="5F9E02EC"/>
    <w:rsid w:val="5FA1081C"/>
    <w:rsid w:val="5FAF6679"/>
    <w:rsid w:val="5FBB5BDB"/>
    <w:rsid w:val="5FD9462B"/>
    <w:rsid w:val="5FDA36A7"/>
    <w:rsid w:val="5FE061B9"/>
    <w:rsid w:val="5FEB5761"/>
    <w:rsid w:val="5FF2552B"/>
    <w:rsid w:val="5FFB6305"/>
    <w:rsid w:val="5FFB6714"/>
    <w:rsid w:val="60011320"/>
    <w:rsid w:val="60267D5D"/>
    <w:rsid w:val="604100BA"/>
    <w:rsid w:val="60550F25"/>
    <w:rsid w:val="6057025C"/>
    <w:rsid w:val="606F133D"/>
    <w:rsid w:val="60795FB2"/>
    <w:rsid w:val="607B07D5"/>
    <w:rsid w:val="60916901"/>
    <w:rsid w:val="60993336"/>
    <w:rsid w:val="609949E1"/>
    <w:rsid w:val="60A27DAC"/>
    <w:rsid w:val="60B91733"/>
    <w:rsid w:val="60C20183"/>
    <w:rsid w:val="60E34759"/>
    <w:rsid w:val="610B115D"/>
    <w:rsid w:val="61120121"/>
    <w:rsid w:val="611F5E40"/>
    <w:rsid w:val="612650A2"/>
    <w:rsid w:val="61275225"/>
    <w:rsid w:val="613971A8"/>
    <w:rsid w:val="613A1351"/>
    <w:rsid w:val="614041D7"/>
    <w:rsid w:val="61552A82"/>
    <w:rsid w:val="616C655B"/>
    <w:rsid w:val="616E381D"/>
    <w:rsid w:val="61702147"/>
    <w:rsid w:val="61A21ED5"/>
    <w:rsid w:val="61AA66DD"/>
    <w:rsid w:val="61BA5EFD"/>
    <w:rsid w:val="61C04E3B"/>
    <w:rsid w:val="61C7660C"/>
    <w:rsid w:val="61D272BB"/>
    <w:rsid w:val="61D55DBE"/>
    <w:rsid w:val="61D81BE2"/>
    <w:rsid w:val="61E47F27"/>
    <w:rsid w:val="61E93AD6"/>
    <w:rsid w:val="61F55CC4"/>
    <w:rsid w:val="61F93243"/>
    <w:rsid w:val="620100B1"/>
    <w:rsid w:val="62190F45"/>
    <w:rsid w:val="62193B80"/>
    <w:rsid w:val="621B4181"/>
    <w:rsid w:val="62216BE1"/>
    <w:rsid w:val="62311BC3"/>
    <w:rsid w:val="62353B47"/>
    <w:rsid w:val="62361100"/>
    <w:rsid w:val="624076D6"/>
    <w:rsid w:val="62511DE0"/>
    <w:rsid w:val="62697D86"/>
    <w:rsid w:val="628C53F9"/>
    <w:rsid w:val="62937829"/>
    <w:rsid w:val="62977285"/>
    <w:rsid w:val="62A20B07"/>
    <w:rsid w:val="62A414E0"/>
    <w:rsid w:val="62BA5904"/>
    <w:rsid w:val="62CC77CB"/>
    <w:rsid w:val="62CD6A55"/>
    <w:rsid w:val="62D51842"/>
    <w:rsid w:val="62F3784F"/>
    <w:rsid w:val="62F41404"/>
    <w:rsid w:val="62FF3FB5"/>
    <w:rsid w:val="63021DE2"/>
    <w:rsid w:val="63082288"/>
    <w:rsid w:val="63112339"/>
    <w:rsid w:val="631E4EB5"/>
    <w:rsid w:val="632C21E9"/>
    <w:rsid w:val="632C2662"/>
    <w:rsid w:val="633013E8"/>
    <w:rsid w:val="633758BB"/>
    <w:rsid w:val="63385D89"/>
    <w:rsid w:val="633A0F04"/>
    <w:rsid w:val="633F1EE3"/>
    <w:rsid w:val="6340127C"/>
    <w:rsid w:val="63402FDE"/>
    <w:rsid w:val="63654FE0"/>
    <w:rsid w:val="63835B20"/>
    <w:rsid w:val="63985508"/>
    <w:rsid w:val="63AA5332"/>
    <w:rsid w:val="63C61233"/>
    <w:rsid w:val="63D33DB7"/>
    <w:rsid w:val="63FF6AFB"/>
    <w:rsid w:val="640754EE"/>
    <w:rsid w:val="64142736"/>
    <w:rsid w:val="642A2A58"/>
    <w:rsid w:val="642A353F"/>
    <w:rsid w:val="64391A57"/>
    <w:rsid w:val="64456123"/>
    <w:rsid w:val="64585109"/>
    <w:rsid w:val="645F7031"/>
    <w:rsid w:val="64663CD8"/>
    <w:rsid w:val="64881679"/>
    <w:rsid w:val="649F7EFD"/>
    <w:rsid w:val="64A67ACD"/>
    <w:rsid w:val="64A84422"/>
    <w:rsid w:val="64B23DB4"/>
    <w:rsid w:val="64B25F3E"/>
    <w:rsid w:val="64B55A95"/>
    <w:rsid w:val="64B64B66"/>
    <w:rsid w:val="64B86E2A"/>
    <w:rsid w:val="64C12A40"/>
    <w:rsid w:val="64C15487"/>
    <w:rsid w:val="64C51685"/>
    <w:rsid w:val="64C82CB3"/>
    <w:rsid w:val="64DD1B37"/>
    <w:rsid w:val="65137300"/>
    <w:rsid w:val="6526740F"/>
    <w:rsid w:val="653B3110"/>
    <w:rsid w:val="653D16E0"/>
    <w:rsid w:val="65423C20"/>
    <w:rsid w:val="6556674F"/>
    <w:rsid w:val="655F2B6C"/>
    <w:rsid w:val="65862CD9"/>
    <w:rsid w:val="6588686F"/>
    <w:rsid w:val="659E46D8"/>
    <w:rsid w:val="65A57048"/>
    <w:rsid w:val="65B50E5A"/>
    <w:rsid w:val="65BC55DF"/>
    <w:rsid w:val="65C1054A"/>
    <w:rsid w:val="65C3067B"/>
    <w:rsid w:val="65D40A3C"/>
    <w:rsid w:val="65D54781"/>
    <w:rsid w:val="65D7500D"/>
    <w:rsid w:val="65DB784E"/>
    <w:rsid w:val="65DF45BB"/>
    <w:rsid w:val="660867AF"/>
    <w:rsid w:val="662D27C6"/>
    <w:rsid w:val="66452970"/>
    <w:rsid w:val="66452FE9"/>
    <w:rsid w:val="6679092A"/>
    <w:rsid w:val="668D7DF1"/>
    <w:rsid w:val="66964197"/>
    <w:rsid w:val="66AB7EE5"/>
    <w:rsid w:val="66AD415D"/>
    <w:rsid w:val="66C73D9C"/>
    <w:rsid w:val="66D04B5E"/>
    <w:rsid w:val="66D60DB1"/>
    <w:rsid w:val="66E561D8"/>
    <w:rsid w:val="66EA3DD6"/>
    <w:rsid w:val="66F00AF0"/>
    <w:rsid w:val="6700750E"/>
    <w:rsid w:val="671D6BF1"/>
    <w:rsid w:val="67283806"/>
    <w:rsid w:val="67580868"/>
    <w:rsid w:val="67610EFA"/>
    <w:rsid w:val="6773071F"/>
    <w:rsid w:val="67805A9B"/>
    <w:rsid w:val="678D5B85"/>
    <w:rsid w:val="67904419"/>
    <w:rsid w:val="67995A29"/>
    <w:rsid w:val="67A00193"/>
    <w:rsid w:val="67AE06E9"/>
    <w:rsid w:val="67B563BE"/>
    <w:rsid w:val="67DB2545"/>
    <w:rsid w:val="67DC482A"/>
    <w:rsid w:val="67E55620"/>
    <w:rsid w:val="67EA5494"/>
    <w:rsid w:val="67EB5FE1"/>
    <w:rsid w:val="67ED1ADF"/>
    <w:rsid w:val="67FC2BE7"/>
    <w:rsid w:val="68080C09"/>
    <w:rsid w:val="68091997"/>
    <w:rsid w:val="680D19BB"/>
    <w:rsid w:val="680F7916"/>
    <w:rsid w:val="6815717B"/>
    <w:rsid w:val="681A46E7"/>
    <w:rsid w:val="681B7F08"/>
    <w:rsid w:val="68221A8C"/>
    <w:rsid w:val="68347A35"/>
    <w:rsid w:val="684D6D87"/>
    <w:rsid w:val="684F6446"/>
    <w:rsid w:val="685036D0"/>
    <w:rsid w:val="68525B9B"/>
    <w:rsid w:val="688432AD"/>
    <w:rsid w:val="6886446B"/>
    <w:rsid w:val="6886482A"/>
    <w:rsid w:val="688C12CD"/>
    <w:rsid w:val="688E57BC"/>
    <w:rsid w:val="68904BFB"/>
    <w:rsid w:val="68A0499E"/>
    <w:rsid w:val="68A36E99"/>
    <w:rsid w:val="68AE3670"/>
    <w:rsid w:val="68C332BA"/>
    <w:rsid w:val="68C66F87"/>
    <w:rsid w:val="68C708F2"/>
    <w:rsid w:val="68CB582D"/>
    <w:rsid w:val="68D56251"/>
    <w:rsid w:val="68E872D1"/>
    <w:rsid w:val="68EF5946"/>
    <w:rsid w:val="68F23CD8"/>
    <w:rsid w:val="68F25DFA"/>
    <w:rsid w:val="68FF3746"/>
    <w:rsid w:val="68FF6567"/>
    <w:rsid w:val="6902390E"/>
    <w:rsid w:val="692D78ED"/>
    <w:rsid w:val="693118AD"/>
    <w:rsid w:val="695004B5"/>
    <w:rsid w:val="69603C4B"/>
    <w:rsid w:val="69614422"/>
    <w:rsid w:val="6966049F"/>
    <w:rsid w:val="69683F1C"/>
    <w:rsid w:val="69734633"/>
    <w:rsid w:val="69775D94"/>
    <w:rsid w:val="697A139B"/>
    <w:rsid w:val="6986197E"/>
    <w:rsid w:val="69871BB8"/>
    <w:rsid w:val="698F5FE8"/>
    <w:rsid w:val="69930E11"/>
    <w:rsid w:val="699C0EF8"/>
    <w:rsid w:val="69A23095"/>
    <w:rsid w:val="69AB5DBB"/>
    <w:rsid w:val="69B06EFE"/>
    <w:rsid w:val="69B840F1"/>
    <w:rsid w:val="69C91948"/>
    <w:rsid w:val="69D90254"/>
    <w:rsid w:val="69DC32D7"/>
    <w:rsid w:val="69F2176C"/>
    <w:rsid w:val="69F22996"/>
    <w:rsid w:val="69FD45AC"/>
    <w:rsid w:val="6A093AF9"/>
    <w:rsid w:val="6A0C6539"/>
    <w:rsid w:val="6A2314C2"/>
    <w:rsid w:val="6A2826A1"/>
    <w:rsid w:val="6A424D6D"/>
    <w:rsid w:val="6A551347"/>
    <w:rsid w:val="6A5660EE"/>
    <w:rsid w:val="6A5D1911"/>
    <w:rsid w:val="6A7E1AA3"/>
    <w:rsid w:val="6A9635F7"/>
    <w:rsid w:val="6A9F3407"/>
    <w:rsid w:val="6AA45AEE"/>
    <w:rsid w:val="6AAA05A9"/>
    <w:rsid w:val="6AE02BB5"/>
    <w:rsid w:val="6AE60B4C"/>
    <w:rsid w:val="6B0625D1"/>
    <w:rsid w:val="6B0E0011"/>
    <w:rsid w:val="6B113D9E"/>
    <w:rsid w:val="6B3529D0"/>
    <w:rsid w:val="6B357BE5"/>
    <w:rsid w:val="6B3611E8"/>
    <w:rsid w:val="6B3C6A10"/>
    <w:rsid w:val="6B3D3D48"/>
    <w:rsid w:val="6B5B3158"/>
    <w:rsid w:val="6B5D6E33"/>
    <w:rsid w:val="6B6B1AAA"/>
    <w:rsid w:val="6B726A7C"/>
    <w:rsid w:val="6B8833D8"/>
    <w:rsid w:val="6B8902B7"/>
    <w:rsid w:val="6B960293"/>
    <w:rsid w:val="6B9878C4"/>
    <w:rsid w:val="6BA832B8"/>
    <w:rsid w:val="6BB54A7D"/>
    <w:rsid w:val="6BBA4198"/>
    <w:rsid w:val="6BBA5C26"/>
    <w:rsid w:val="6BC644EC"/>
    <w:rsid w:val="6BDB04B6"/>
    <w:rsid w:val="6BE963BE"/>
    <w:rsid w:val="6C0F365E"/>
    <w:rsid w:val="6C0F611F"/>
    <w:rsid w:val="6C2E2CA9"/>
    <w:rsid w:val="6C33536D"/>
    <w:rsid w:val="6C3E3641"/>
    <w:rsid w:val="6C496677"/>
    <w:rsid w:val="6C517C19"/>
    <w:rsid w:val="6C547454"/>
    <w:rsid w:val="6C5648D5"/>
    <w:rsid w:val="6C650278"/>
    <w:rsid w:val="6C740601"/>
    <w:rsid w:val="6C7F6C59"/>
    <w:rsid w:val="6C842DAB"/>
    <w:rsid w:val="6C8A5474"/>
    <w:rsid w:val="6CC9029C"/>
    <w:rsid w:val="6CC91B21"/>
    <w:rsid w:val="6CD85C69"/>
    <w:rsid w:val="6CDD1D7B"/>
    <w:rsid w:val="6CF22917"/>
    <w:rsid w:val="6CF95B3A"/>
    <w:rsid w:val="6CFA4338"/>
    <w:rsid w:val="6D176994"/>
    <w:rsid w:val="6D233DD2"/>
    <w:rsid w:val="6D44019E"/>
    <w:rsid w:val="6D464DCC"/>
    <w:rsid w:val="6D616216"/>
    <w:rsid w:val="6D861CBD"/>
    <w:rsid w:val="6D8D1511"/>
    <w:rsid w:val="6D932C97"/>
    <w:rsid w:val="6D9868E0"/>
    <w:rsid w:val="6DA225C5"/>
    <w:rsid w:val="6DB630F7"/>
    <w:rsid w:val="6DBF57D4"/>
    <w:rsid w:val="6DC27A0E"/>
    <w:rsid w:val="6DDD44A9"/>
    <w:rsid w:val="6DF90DFC"/>
    <w:rsid w:val="6E04099A"/>
    <w:rsid w:val="6E097C58"/>
    <w:rsid w:val="6E0A3A02"/>
    <w:rsid w:val="6E0E61FC"/>
    <w:rsid w:val="6E10454B"/>
    <w:rsid w:val="6E3101C1"/>
    <w:rsid w:val="6E451A64"/>
    <w:rsid w:val="6E67698D"/>
    <w:rsid w:val="6E6839F7"/>
    <w:rsid w:val="6E733F82"/>
    <w:rsid w:val="6E7C3832"/>
    <w:rsid w:val="6E874489"/>
    <w:rsid w:val="6E960A52"/>
    <w:rsid w:val="6EA0744D"/>
    <w:rsid w:val="6EA3291D"/>
    <w:rsid w:val="6EA67504"/>
    <w:rsid w:val="6EA70317"/>
    <w:rsid w:val="6ED133CF"/>
    <w:rsid w:val="6EDD75A0"/>
    <w:rsid w:val="6EE73EE7"/>
    <w:rsid w:val="6F0D2298"/>
    <w:rsid w:val="6F145E1F"/>
    <w:rsid w:val="6F164ADC"/>
    <w:rsid w:val="6F276C23"/>
    <w:rsid w:val="6F37324B"/>
    <w:rsid w:val="6F4B77AB"/>
    <w:rsid w:val="6F59783E"/>
    <w:rsid w:val="6F5A407F"/>
    <w:rsid w:val="6F9045BD"/>
    <w:rsid w:val="6F9670B5"/>
    <w:rsid w:val="6F991282"/>
    <w:rsid w:val="6F9A4BFC"/>
    <w:rsid w:val="6FAD4095"/>
    <w:rsid w:val="6FB963FA"/>
    <w:rsid w:val="6FC808E6"/>
    <w:rsid w:val="6FCF7480"/>
    <w:rsid w:val="6FD071A2"/>
    <w:rsid w:val="6FD57D31"/>
    <w:rsid w:val="6FD969D9"/>
    <w:rsid w:val="6FDF42CC"/>
    <w:rsid w:val="6FF23142"/>
    <w:rsid w:val="700A32D4"/>
    <w:rsid w:val="7011160C"/>
    <w:rsid w:val="70143D7F"/>
    <w:rsid w:val="70394E16"/>
    <w:rsid w:val="703B2856"/>
    <w:rsid w:val="70512274"/>
    <w:rsid w:val="707136A0"/>
    <w:rsid w:val="7071512F"/>
    <w:rsid w:val="70836044"/>
    <w:rsid w:val="708E3F08"/>
    <w:rsid w:val="70945DFE"/>
    <w:rsid w:val="70963635"/>
    <w:rsid w:val="709E757C"/>
    <w:rsid w:val="70A4031D"/>
    <w:rsid w:val="70A81FF7"/>
    <w:rsid w:val="70AB6982"/>
    <w:rsid w:val="70B74010"/>
    <w:rsid w:val="70B960E4"/>
    <w:rsid w:val="70BD0161"/>
    <w:rsid w:val="70CE2945"/>
    <w:rsid w:val="70DD4262"/>
    <w:rsid w:val="70E03E42"/>
    <w:rsid w:val="710003A8"/>
    <w:rsid w:val="710376A0"/>
    <w:rsid w:val="71055269"/>
    <w:rsid w:val="710F0BB8"/>
    <w:rsid w:val="71194261"/>
    <w:rsid w:val="711C5BB5"/>
    <w:rsid w:val="71375D39"/>
    <w:rsid w:val="713839ED"/>
    <w:rsid w:val="7144689C"/>
    <w:rsid w:val="714872A8"/>
    <w:rsid w:val="714E4437"/>
    <w:rsid w:val="715971DA"/>
    <w:rsid w:val="717E5F2F"/>
    <w:rsid w:val="71885178"/>
    <w:rsid w:val="718B15C7"/>
    <w:rsid w:val="719C0345"/>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4C75EB"/>
    <w:rsid w:val="72522107"/>
    <w:rsid w:val="7258227F"/>
    <w:rsid w:val="726542C5"/>
    <w:rsid w:val="72713F85"/>
    <w:rsid w:val="72725AF0"/>
    <w:rsid w:val="72791350"/>
    <w:rsid w:val="727E25B6"/>
    <w:rsid w:val="72931EAF"/>
    <w:rsid w:val="72963B15"/>
    <w:rsid w:val="729B43C7"/>
    <w:rsid w:val="729B556A"/>
    <w:rsid w:val="72A264DB"/>
    <w:rsid w:val="72AA2B66"/>
    <w:rsid w:val="72BD48D1"/>
    <w:rsid w:val="72C65D78"/>
    <w:rsid w:val="72CC26C6"/>
    <w:rsid w:val="72D7336E"/>
    <w:rsid w:val="72E12618"/>
    <w:rsid w:val="72F21234"/>
    <w:rsid w:val="72FD0906"/>
    <w:rsid w:val="7313580C"/>
    <w:rsid w:val="731D5BEB"/>
    <w:rsid w:val="73296739"/>
    <w:rsid w:val="73300890"/>
    <w:rsid w:val="7339443F"/>
    <w:rsid w:val="7344461F"/>
    <w:rsid w:val="73560691"/>
    <w:rsid w:val="73795D74"/>
    <w:rsid w:val="739509FA"/>
    <w:rsid w:val="73A80755"/>
    <w:rsid w:val="73C4164C"/>
    <w:rsid w:val="73CC653A"/>
    <w:rsid w:val="73D159A1"/>
    <w:rsid w:val="73D217D6"/>
    <w:rsid w:val="73DD0AC3"/>
    <w:rsid w:val="73E00FC2"/>
    <w:rsid w:val="73E96F00"/>
    <w:rsid w:val="73F35C20"/>
    <w:rsid w:val="73F8462A"/>
    <w:rsid w:val="74036C0D"/>
    <w:rsid w:val="74037621"/>
    <w:rsid w:val="740C66E7"/>
    <w:rsid w:val="741C3B3B"/>
    <w:rsid w:val="741D2D43"/>
    <w:rsid w:val="745B0796"/>
    <w:rsid w:val="745F4062"/>
    <w:rsid w:val="74633A98"/>
    <w:rsid w:val="746F28A8"/>
    <w:rsid w:val="74DF558B"/>
    <w:rsid w:val="74EE1D1B"/>
    <w:rsid w:val="74F10289"/>
    <w:rsid w:val="74F34F85"/>
    <w:rsid w:val="74F826B3"/>
    <w:rsid w:val="75014572"/>
    <w:rsid w:val="75067D82"/>
    <w:rsid w:val="750B7E6D"/>
    <w:rsid w:val="75101474"/>
    <w:rsid w:val="75152359"/>
    <w:rsid w:val="752955C7"/>
    <w:rsid w:val="753251A1"/>
    <w:rsid w:val="75473AB6"/>
    <w:rsid w:val="755A639D"/>
    <w:rsid w:val="75612341"/>
    <w:rsid w:val="75651105"/>
    <w:rsid w:val="756B34A4"/>
    <w:rsid w:val="757E7386"/>
    <w:rsid w:val="75882465"/>
    <w:rsid w:val="7589081E"/>
    <w:rsid w:val="75913AD5"/>
    <w:rsid w:val="75966D08"/>
    <w:rsid w:val="75AB03F6"/>
    <w:rsid w:val="75C04D35"/>
    <w:rsid w:val="75CA48E7"/>
    <w:rsid w:val="75CE07FB"/>
    <w:rsid w:val="75D15E60"/>
    <w:rsid w:val="75E027FD"/>
    <w:rsid w:val="75E21B92"/>
    <w:rsid w:val="75E85E32"/>
    <w:rsid w:val="76351D9E"/>
    <w:rsid w:val="763E077B"/>
    <w:rsid w:val="7640418E"/>
    <w:rsid w:val="76511A24"/>
    <w:rsid w:val="765629A7"/>
    <w:rsid w:val="765728BC"/>
    <w:rsid w:val="76617A2A"/>
    <w:rsid w:val="76752691"/>
    <w:rsid w:val="76924971"/>
    <w:rsid w:val="76933E2E"/>
    <w:rsid w:val="76960A4B"/>
    <w:rsid w:val="76964351"/>
    <w:rsid w:val="76A27B4C"/>
    <w:rsid w:val="76B918A6"/>
    <w:rsid w:val="76BC587C"/>
    <w:rsid w:val="76BF7808"/>
    <w:rsid w:val="76C00AFC"/>
    <w:rsid w:val="76C07136"/>
    <w:rsid w:val="76DD09AF"/>
    <w:rsid w:val="76ED1347"/>
    <w:rsid w:val="76F433E8"/>
    <w:rsid w:val="77176F12"/>
    <w:rsid w:val="771946D8"/>
    <w:rsid w:val="772268FD"/>
    <w:rsid w:val="773D5274"/>
    <w:rsid w:val="77402C4B"/>
    <w:rsid w:val="77474684"/>
    <w:rsid w:val="774B39B8"/>
    <w:rsid w:val="775666E2"/>
    <w:rsid w:val="77653ACC"/>
    <w:rsid w:val="776A41AC"/>
    <w:rsid w:val="77747DD3"/>
    <w:rsid w:val="778E3E67"/>
    <w:rsid w:val="77A82770"/>
    <w:rsid w:val="77BD4BE4"/>
    <w:rsid w:val="77BD7E72"/>
    <w:rsid w:val="77C9487D"/>
    <w:rsid w:val="77D0299F"/>
    <w:rsid w:val="77ED0386"/>
    <w:rsid w:val="77F72469"/>
    <w:rsid w:val="77F854D4"/>
    <w:rsid w:val="77F94BE3"/>
    <w:rsid w:val="78003B18"/>
    <w:rsid w:val="78065036"/>
    <w:rsid w:val="780D5CB6"/>
    <w:rsid w:val="78155E57"/>
    <w:rsid w:val="78366B8C"/>
    <w:rsid w:val="783B287A"/>
    <w:rsid w:val="78482C69"/>
    <w:rsid w:val="785E7689"/>
    <w:rsid w:val="786A7B13"/>
    <w:rsid w:val="787C388D"/>
    <w:rsid w:val="788249B9"/>
    <w:rsid w:val="78886D15"/>
    <w:rsid w:val="78AD7D8E"/>
    <w:rsid w:val="78B2035E"/>
    <w:rsid w:val="78B43B82"/>
    <w:rsid w:val="78B57D9C"/>
    <w:rsid w:val="78BB76EA"/>
    <w:rsid w:val="78E26C73"/>
    <w:rsid w:val="78E76B0F"/>
    <w:rsid w:val="78F65C61"/>
    <w:rsid w:val="78F9125E"/>
    <w:rsid w:val="78FB1BD1"/>
    <w:rsid w:val="79186D4E"/>
    <w:rsid w:val="79213328"/>
    <w:rsid w:val="79213DE2"/>
    <w:rsid w:val="793809FB"/>
    <w:rsid w:val="7964511F"/>
    <w:rsid w:val="79824E81"/>
    <w:rsid w:val="79956A1C"/>
    <w:rsid w:val="799B2468"/>
    <w:rsid w:val="799E7491"/>
    <w:rsid w:val="799F3F47"/>
    <w:rsid w:val="79A72484"/>
    <w:rsid w:val="79A82466"/>
    <w:rsid w:val="79BA471D"/>
    <w:rsid w:val="79C47FC2"/>
    <w:rsid w:val="79C51FED"/>
    <w:rsid w:val="79D417BE"/>
    <w:rsid w:val="79DF005F"/>
    <w:rsid w:val="79E028EC"/>
    <w:rsid w:val="79F47009"/>
    <w:rsid w:val="7A114E8A"/>
    <w:rsid w:val="7A1C5B1C"/>
    <w:rsid w:val="7A233119"/>
    <w:rsid w:val="7A2D6C9D"/>
    <w:rsid w:val="7A4653BA"/>
    <w:rsid w:val="7A4B4C2F"/>
    <w:rsid w:val="7A707B63"/>
    <w:rsid w:val="7A765EEC"/>
    <w:rsid w:val="7A773B5D"/>
    <w:rsid w:val="7A790CA9"/>
    <w:rsid w:val="7A7E0984"/>
    <w:rsid w:val="7AA36941"/>
    <w:rsid w:val="7AB0523D"/>
    <w:rsid w:val="7AB83F1D"/>
    <w:rsid w:val="7ACC04C2"/>
    <w:rsid w:val="7AD234FC"/>
    <w:rsid w:val="7AD86C9B"/>
    <w:rsid w:val="7ADD6AF4"/>
    <w:rsid w:val="7AE2061C"/>
    <w:rsid w:val="7AE960CA"/>
    <w:rsid w:val="7AF937F5"/>
    <w:rsid w:val="7B002131"/>
    <w:rsid w:val="7B063546"/>
    <w:rsid w:val="7B0864F6"/>
    <w:rsid w:val="7B134040"/>
    <w:rsid w:val="7B1B16D3"/>
    <w:rsid w:val="7B2E6780"/>
    <w:rsid w:val="7B506EC2"/>
    <w:rsid w:val="7B5D217A"/>
    <w:rsid w:val="7B614801"/>
    <w:rsid w:val="7B6158E6"/>
    <w:rsid w:val="7B684A54"/>
    <w:rsid w:val="7B913B86"/>
    <w:rsid w:val="7B97422A"/>
    <w:rsid w:val="7BA969F0"/>
    <w:rsid w:val="7BB31B68"/>
    <w:rsid w:val="7BCB31C0"/>
    <w:rsid w:val="7BDC6155"/>
    <w:rsid w:val="7BEF4BDC"/>
    <w:rsid w:val="7C035604"/>
    <w:rsid w:val="7C071C5F"/>
    <w:rsid w:val="7C1311BA"/>
    <w:rsid w:val="7C194469"/>
    <w:rsid w:val="7C1A6CD5"/>
    <w:rsid w:val="7C2630F4"/>
    <w:rsid w:val="7C326149"/>
    <w:rsid w:val="7C3A066B"/>
    <w:rsid w:val="7C45471C"/>
    <w:rsid w:val="7C7001B6"/>
    <w:rsid w:val="7C7E27D3"/>
    <w:rsid w:val="7C7F3629"/>
    <w:rsid w:val="7C8B7A6D"/>
    <w:rsid w:val="7C90110D"/>
    <w:rsid w:val="7C901429"/>
    <w:rsid w:val="7C935E25"/>
    <w:rsid w:val="7C9B6AF6"/>
    <w:rsid w:val="7CA34622"/>
    <w:rsid w:val="7CA726F6"/>
    <w:rsid w:val="7CB3364E"/>
    <w:rsid w:val="7CC74A77"/>
    <w:rsid w:val="7CC90590"/>
    <w:rsid w:val="7CEF41D5"/>
    <w:rsid w:val="7D2F6FF7"/>
    <w:rsid w:val="7D303FCF"/>
    <w:rsid w:val="7D332F6D"/>
    <w:rsid w:val="7D3446E3"/>
    <w:rsid w:val="7D3A1A33"/>
    <w:rsid w:val="7D3D587B"/>
    <w:rsid w:val="7D4435DF"/>
    <w:rsid w:val="7D4B267A"/>
    <w:rsid w:val="7D517A82"/>
    <w:rsid w:val="7D5C75F5"/>
    <w:rsid w:val="7D620900"/>
    <w:rsid w:val="7D694213"/>
    <w:rsid w:val="7D6B16D3"/>
    <w:rsid w:val="7D6E6D2F"/>
    <w:rsid w:val="7D7C5C83"/>
    <w:rsid w:val="7DA523FD"/>
    <w:rsid w:val="7DB838C8"/>
    <w:rsid w:val="7DC23C3E"/>
    <w:rsid w:val="7DCA5633"/>
    <w:rsid w:val="7DE170A5"/>
    <w:rsid w:val="7DF115AC"/>
    <w:rsid w:val="7DF46E1B"/>
    <w:rsid w:val="7E0464CE"/>
    <w:rsid w:val="7E1350EF"/>
    <w:rsid w:val="7E1F6022"/>
    <w:rsid w:val="7E202324"/>
    <w:rsid w:val="7E25554F"/>
    <w:rsid w:val="7E2C2660"/>
    <w:rsid w:val="7E421CCD"/>
    <w:rsid w:val="7E476D34"/>
    <w:rsid w:val="7E555A2D"/>
    <w:rsid w:val="7E65038E"/>
    <w:rsid w:val="7E69075A"/>
    <w:rsid w:val="7E6D6DAE"/>
    <w:rsid w:val="7E6F3FB2"/>
    <w:rsid w:val="7E957586"/>
    <w:rsid w:val="7E9B11AA"/>
    <w:rsid w:val="7E9E1DEB"/>
    <w:rsid w:val="7EA32AD0"/>
    <w:rsid w:val="7EAC79DF"/>
    <w:rsid w:val="7ECD4344"/>
    <w:rsid w:val="7ED55007"/>
    <w:rsid w:val="7ED8145C"/>
    <w:rsid w:val="7ED953E3"/>
    <w:rsid w:val="7EF765D0"/>
    <w:rsid w:val="7EF87C96"/>
    <w:rsid w:val="7F086927"/>
    <w:rsid w:val="7F0A3362"/>
    <w:rsid w:val="7F215D8A"/>
    <w:rsid w:val="7F262B48"/>
    <w:rsid w:val="7F301B1E"/>
    <w:rsid w:val="7F375D0A"/>
    <w:rsid w:val="7F500CBA"/>
    <w:rsid w:val="7F587DE1"/>
    <w:rsid w:val="7F59726B"/>
    <w:rsid w:val="7F61016D"/>
    <w:rsid w:val="7F635A42"/>
    <w:rsid w:val="7F6D28E2"/>
    <w:rsid w:val="7F806B0A"/>
    <w:rsid w:val="7F820D78"/>
    <w:rsid w:val="7F935AA2"/>
    <w:rsid w:val="7FA379C4"/>
    <w:rsid w:val="7FA51E6D"/>
    <w:rsid w:val="7FB549BA"/>
    <w:rsid w:val="7FC76DE8"/>
    <w:rsid w:val="7FD10373"/>
    <w:rsid w:val="7FFD21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7"/>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Normal Indent"/>
    <w:basedOn w:val="1"/>
    <w:qFormat/>
    <w:uiPriority w:val="0"/>
    <w:pPr>
      <w:widowControl w:val="0"/>
      <w:spacing w:after="0" w:line="240" w:lineRule="auto"/>
      <w:ind w:firstLine="420"/>
      <w:jc w:val="both"/>
    </w:pPr>
    <w:rPr>
      <w:kern w:val="2"/>
      <w:sz w:val="21"/>
      <w:szCs w:val="20"/>
    </w:rPr>
  </w:style>
  <w:style w:type="paragraph" w:styleId="13">
    <w:name w:val="caption"/>
    <w:basedOn w:val="1"/>
    <w:next w:val="1"/>
    <w:link w:val="47"/>
    <w:qFormat/>
    <w:uiPriority w:val="0"/>
    <w:pPr>
      <w:tabs>
        <w:tab w:val="left" w:pos="1418"/>
      </w:tabs>
      <w:spacing w:before="120" w:after="120" w:line="240" w:lineRule="auto"/>
    </w:pPr>
    <w:rPr>
      <w:b/>
      <w:bCs/>
      <w:szCs w:val="20"/>
      <w:lang w:val="en-GB" w:eastAsia="sv-SE"/>
    </w:rPr>
  </w:style>
  <w:style w:type="paragraph" w:styleId="14">
    <w:name w:val="Document Map"/>
    <w:basedOn w:val="1"/>
    <w:link w:val="60"/>
    <w:unhideWhenUsed/>
    <w:qFormat/>
    <w:uiPriority w:val="99"/>
    <w:rPr>
      <w:rFonts w:ascii="宋体"/>
      <w:sz w:val="18"/>
      <w:szCs w:val="18"/>
    </w:rPr>
  </w:style>
  <w:style w:type="paragraph" w:styleId="15">
    <w:name w:val="annotation text"/>
    <w:basedOn w:val="1"/>
    <w:link w:val="52"/>
    <w:unhideWhenUsed/>
    <w:qFormat/>
    <w:uiPriority w:val="0"/>
    <w:rPr>
      <w:szCs w:val="20"/>
    </w:rPr>
  </w:style>
  <w:style w:type="paragraph" w:styleId="16">
    <w:name w:val="Body Text"/>
    <w:basedOn w:val="1"/>
    <w:link w:val="53"/>
    <w:qFormat/>
    <w:uiPriority w:val="0"/>
    <w:pPr>
      <w:widowControl w:val="0"/>
      <w:spacing w:after="0" w:line="240" w:lineRule="auto"/>
      <w:jc w:val="both"/>
    </w:pPr>
    <w:rPr>
      <w:color w:val="0000FF"/>
      <w:kern w:val="2"/>
      <w:sz w:val="21"/>
      <w:szCs w:val="20"/>
    </w:rPr>
  </w:style>
  <w:style w:type="paragraph" w:styleId="17">
    <w:name w:val="List 2"/>
    <w:basedOn w:val="1"/>
    <w:qFormat/>
    <w:uiPriority w:val="0"/>
    <w:pPr>
      <w:ind w:left="851"/>
    </w:pPr>
  </w:style>
  <w:style w:type="paragraph" w:styleId="18">
    <w:name w:val="Balloon Text"/>
    <w:basedOn w:val="1"/>
    <w:link w:val="56"/>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40"/>
    <w:semiHidden/>
    <w:qFormat/>
    <w:uiPriority w:val="0"/>
    <w:pPr>
      <w:spacing w:after="0" w:line="240" w:lineRule="auto"/>
      <w:jc w:val="both"/>
    </w:pPr>
    <w:rPr>
      <w:rFonts w:ascii="Times" w:hAnsi="Times" w:eastAsia="Batang"/>
      <w:szCs w:val="20"/>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5"/>
    <w:next w:val="15"/>
    <w:link w:val="39"/>
    <w:unhideWhenUsed/>
    <w:qFormat/>
    <w:uiPriority w:val="99"/>
    <w:rPr>
      <w:b/>
      <w:bCs/>
    </w:r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标题 1 字符"/>
    <w:link w:val="2"/>
    <w:qFormat/>
    <w:uiPriority w:val="99"/>
    <w:rPr>
      <w:rFonts w:ascii="Arial" w:hAnsi="Arial" w:eastAsia="黑体"/>
      <w:b/>
      <w:bCs/>
      <w:sz w:val="30"/>
      <w:szCs w:val="30"/>
      <w:lang w:val="zh-CN"/>
    </w:rPr>
  </w:style>
  <w:style w:type="character" w:customStyle="1" w:styleId="37">
    <w:name w:val="标题 3 字符"/>
    <w:link w:val="4"/>
    <w:qFormat/>
    <w:uiPriority w:val="9"/>
    <w:rPr>
      <w:b/>
      <w:bCs/>
      <w:sz w:val="32"/>
      <w:szCs w:val="32"/>
    </w:rPr>
  </w:style>
  <w:style w:type="character" w:customStyle="1" w:styleId="38">
    <w:name w:val="页眉 字符"/>
    <w:link w:val="20"/>
    <w:qFormat/>
    <w:uiPriority w:val="0"/>
    <w:rPr>
      <w:rFonts w:ascii="Arial" w:hAnsi="Arial" w:eastAsia="MS Mincho"/>
      <w:b/>
      <w:szCs w:val="24"/>
      <w:lang w:eastAsia="en-US"/>
    </w:rPr>
  </w:style>
  <w:style w:type="character" w:customStyle="1" w:styleId="39">
    <w:name w:val="批注主题 字符"/>
    <w:link w:val="24"/>
    <w:semiHidden/>
    <w:qFormat/>
    <w:uiPriority w:val="99"/>
    <w:rPr>
      <w:b/>
      <w:bCs/>
    </w:rPr>
  </w:style>
  <w:style w:type="character" w:customStyle="1" w:styleId="40">
    <w:name w:val="脚注文本 字符"/>
    <w:link w:val="22"/>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Cs w:val="20"/>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qFormat/>
    <w:uiPriority w:val="0"/>
    <w:pPr>
      <w:keepNext/>
      <w:keepLines/>
      <w:spacing w:after="0" w:line="240" w:lineRule="auto"/>
    </w:pPr>
    <w:rPr>
      <w:rFonts w:ascii="Arial" w:hAnsi="Arial"/>
      <w:sz w:val="18"/>
      <w:szCs w:val="20"/>
      <w:lang w:val="en-GB" w:eastAsia="en-US"/>
    </w:rPr>
  </w:style>
  <w:style w:type="character" w:customStyle="1" w:styleId="46">
    <w:name w:val="apple-converted-space"/>
    <w:basedOn w:val="28"/>
    <w:qFormat/>
    <w:uiPriority w:val="0"/>
  </w:style>
  <w:style w:type="character" w:customStyle="1" w:styleId="47">
    <w:name w:val="题注 字符"/>
    <w:link w:val="13"/>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21"/>
    <w:link w:val="48"/>
    <w:qFormat/>
    <w:uiPriority w:val="0"/>
    <w:pPr>
      <w:spacing w:after="180" w:line="240" w:lineRule="auto"/>
      <w:ind w:left="568" w:hanging="284" w:firstLineChars="0"/>
    </w:pPr>
    <w:rPr>
      <w:szCs w:val="20"/>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line="288" w:lineRule="auto"/>
      <w:ind w:firstLine="200" w:firstLineChars="200"/>
      <w:jc w:val="both"/>
    </w:pPr>
    <w:rPr>
      <w:rFonts w:eastAsia="Malgun Gothic"/>
      <w:szCs w:val="20"/>
      <w:lang w:val="en-GB" w:eastAsia="ko-KR"/>
    </w:rPr>
  </w:style>
  <w:style w:type="character" w:customStyle="1" w:styleId="52">
    <w:name w:val="批注文字 字符"/>
    <w:basedOn w:val="28"/>
    <w:link w:val="15"/>
    <w:qFormat/>
    <w:uiPriority w:val="0"/>
  </w:style>
  <w:style w:type="character" w:customStyle="1" w:styleId="53">
    <w:name w:val="正文文本 字符"/>
    <w:link w:val="16"/>
    <w:qFormat/>
    <w:uiPriority w:val="0"/>
    <w:rPr>
      <w:rFonts w:ascii="Times New Roman" w:hAnsi="Times New Roman"/>
      <w:color w:val="0000FF"/>
      <w:kern w:val="2"/>
      <w:sz w:val="21"/>
    </w:rPr>
  </w:style>
  <w:style w:type="character" w:customStyle="1" w:styleId="54">
    <w:name w:val="def"/>
    <w:basedOn w:val="28"/>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批注框文本 字符"/>
    <w:link w:val="18"/>
    <w:semiHidden/>
    <w:qFormat/>
    <w:uiPriority w:val="99"/>
    <w:rPr>
      <w:rFonts w:ascii="Tahoma" w:hAnsi="Tahoma" w:cs="Tahoma"/>
      <w:sz w:val="16"/>
      <w:szCs w:val="16"/>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Cs w:val="20"/>
      <w:lang w:val="en-GB" w:eastAsia="ko-KR"/>
    </w:rPr>
  </w:style>
  <w:style w:type="character" w:customStyle="1" w:styleId="59">
    <w:name w:val="word"/>
    <w:basedOn w:val="28"/>
    <w:qFormat/>
    <w:uiPriority w:val="0"/>
  </w:style>
  <w:style w:type="character" w:customStyle="1" w:styleId="60">
    <w:name w:val="文档结构图 字符"/>
    <w:link w:val="14"/>
    <w:semiHidden/>
    <w:qFormat/>
    <w:uiPriority w:val="99"/>
    <w:rPr>
      <w:rFonts w:ascii="宋体"/>
      <w:sz w:val="18"/>
      <w:szCs w:val="18"/>
    </w:rPr>
  </w:style>
  <w:style w:type="character" w:customStyle="1" w:styleId="61">
    <w:name w:val="high-light"/>
    <w:basedOn w:val="28"/>
    <w:qFormat/>
    <w:uiPriority w:val="0"/>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4"/>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8"/>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1"/>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03_Proposal"/>
    <w:basedOn w:val="110"/>
    <w:qFormat/>
    <w:uiPriority w:val="0"/>
    <w:rPr>
      <w:b/>
      <w:i w:val="0"/>
      <w:iCs w:val="0"/>
    </w:rPr>
  </w:style>
  <w:style w:type="paragraph" w:customStyle="1" w:styleId="110">
    <w:name w:val="04_Proposal1"/>
    <w:basedOn w:val="1"/>
    <w:qFormat/>
    <w:uiPriority w:val="0"/>
    <w:rPr>
      <w:bCs/>
      <w:i/>
      <w:iCs/>
    </w:rPr>
  </w:style>
  <w:style w:type="paragraph" w:customStyle="1" w:styleId="111">
    <w:name w:val="列出段落2"/>
    <w:basedOn w:val="1"/>
    <w:link w:val="112"/>
    <w:qFormat/>
    <w:uiPriority w:val="34"/>
    <w:pPr>
      <w:ind w:firstLine="420" w:firstLineChars="200"/>
    </w:pPr>
  </w:style>
  <w:style w:type="character" w:customStyle="1" w:styleId="112">
    <w:name w:val="List Paragraph Char"/>
    <w:basedOn w:val="28"/>
    <w:link w:val="111"/>
    <w:qFormat/>
    <w:locked/>
    <w:uiPriority w:val="34"/>
    <w:rPr>
      <w:rFonts w:eastAsia="t"/>
      <w:szCs w:val="22"/>
    </w:rPr>
  </w:style>
  <w:style w:type="paragraph" w:styleId="113">
    <w:name w:val="List Paragraph"/>
    <w:basedOn w:val="1"/>
    <w:qFormat/>
    <w:uiPriority w:val="34"/>
    <w:pPr>
      <w:ind w:firstLine="420" w:firstLineChars="200"/>
    </w:pPr>
  </w:style>
  <w:style w:type="paragraph" w:customStyle="1" w:styleId="114">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5">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6">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7">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8">
    <w:name w:val="msoins"/>
    <w:qFormat/>
    <w:uiPriority w:val="0"/>
  </w:style>
  <w:style w:type="paragraph" w:customStyle="1" w:styleId="119">
    <w:name w:val="Agreement"/>
    <w:basedOn w:val="1"/>
    <w:next w:val="120"/>
    <w:qFormat/>
    <w:uiPriority w:val="99"/>
    <w:pPr>
      <w:numPr>
        <w:ilvl w:val="0"/>
        <w:numId w:val="5"/>
      </w:numPr>
      <w:spacing w:before="60" w:after="0"/>
    </w:pPr>
    <w:rPr>
      <w:rFonts w:ascii="Arial" w:hAnsi="Arial"/>
      <w:b/>
      <w:szCs w:val="24"/>
      <w:lang w:eastAsia="en-GB"/>
    </w:rPr>
  </w:style>
  <w:style w:type="paragraph" w:customStyle="1" w:styleId="120">
    <w:name w:val="Doc-text2"/>
    <w:basedOn w:val="1"/>
    <w:qFormat/>
    <w:uiPriority w:val="0"/>
    <w:pPr>
      <w:tabs>
        <w:tab w:val="left" w:pos="1622"/>
      </w:tabs>
      <w:spacing w:after="0"/>
      <w:ind w:left="1622" w:hanging="363"/>
    </w:pPr>
    <w:rPr>
      <w:rFonts w:ascii="Arial" w:hAnsi="Arial"/>
      <w:szCs w:val="24"/>
      <w:lang w:eastAsia="en-GB"/>
    </w:rPr>
  </w:style>
  <w:style w:type="paragraph" w:customStyle="1" w:styleId="121">
    <w:name w:val="B2"/>
    <w:basedOn w:val="17"/>
    <w:link w:val="122"/>
    <w:qFormat/>
    <w:uiPriority w:val="0"/>
    <w:pPr>
      <w:spacing w:after="180" w:line="240" w:lineRule="auto"/>
      <w:ind w:hanging="284"/>
    </w:pPr>
    <w:rPr>
      <w:rFonts w:eastAsia="Times New Roman"/>
      <w:szCs w:val="20"/>
      <w:lang w:val="zh-CN" w:eastAsia="en-US"/>
    </w:rPr>
  </w:style>
  <w:style w:type="character" w:customStyle="1" w:styleId="122">
    <w:name w:val="B2 Char"/>
    <w:link w:val="121"/>
    <w:qFormat/>
    <w:uiPriority w:val="0"/>
    <w:rPr>
      <w:rFonts w:eastAsia="Times New Roman"/>
      <w:lang w:val="zh-CN" w:eastAsia="en-US"/>
    </w:rPr>
  </w:style>
  <w:style w:type="character" w:customStyle="1" w:styleId="123">
    <w:name w:val="x_xxapple-converted-space"/>
    <w:basedOn w:val="28"/>
    <w:qFormat/>
    <w:uiPriority w:val="0"/>
  </w:style>
  <w:style w:type="paragraph" w:customStyle="1" w:styleId="124">
    <w:name w:val="text intend 1"/>
    <w:basedOn w:val="90"/>
    <w:qFormat/>
    <w:uiPriority w:val="0"/>
    <w:pPr>
      <w:widowControl/>
      <w:numPr>
        <w:ilvl w:val="0"/>
        <w:numId w:val="6"/>
      </w:numPr>
      <w:spacing w:after="120"/>
    </w:pPr>
    <w:rPr>
      <w:rFonts w:eastAsia="MS Mincho"/>
      <w:lang w:val="en-US"/>
    </w:rPr>
  </w:style>
  <w:style w:type="paragraph" w:customStyle="1" w:styleId="125">
    <w:name w:val="x_xxmsonormal"/>
    <w:basedOn w:val="1"/>
    <w:qFormat/>
    <w:uiPriority w:val="99"/>
    <w:rPr>
      <w:rFonts w:eastAsia="Malgun Gothic"/>
      <w:sz w:val="24"/>
      <w:lang w:eastAsia="ko-KR"/>
    </w:rPr>
  </w:style>
  <w:style w:type="paragraph" w:customStyle="1" w:styleId="12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7">
    <w:name w:val="B3"/>
    <w:basedOn w:val="1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9A100-AE8B-4CD8-B298-784D9A8DF03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Pages>
  <Words>972</Words>
  <Characters>5542</Characters>
  <Lines>46</Lines>
  <Paragraphs>13</Paragraphs>
  <TotalTime>3</TotalTime>
  <ScaleCrop>false</ScaleCrop>
  <LinksUpToDate>false</LinksUpToDate>
  <CharactersWithSpaces>6501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2024-05-09T15:17:00Z</dcterms:created>
  <dc:creator>ZTE</dc:creator>
  <cp:lastModifiedBy>ZTE</cp:lastModifiedBy>
  <dcterms:modified xsi:type="dcterms:W3CDTF">2024-05-10T09:13:47Z</dcterms:modified>
  <dc:title>3GPP TSG-RAN WG1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EE27A0FEEF4D460E86661AF79E1DCB1E</vt:lpwstr>
  </property>
</Properties>
</file>